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88" w:rsidRPr="008A6888" w:rsidRDefault="008A6888" w:rsidP="008A6888">
      <w:pPr>
        <w:pStyle w:val="Body"/>
        <w:spacing w:after="120"/>
        <w:rPr>
          <w:rFonts w:asciiTheme="minorHAnsi" w:hAnsiTheme="minorHAnsi"/>
        </w:rPr>
      </w:pPr>
      <w:r w:rsidRPr="008A6888">
        <w:rPr>
          <w:rFonts w:asciiTheme="minorHAnsi" w:hAnsiTheme="minorHAnsi"/>
        </w:rPr>
        <w:t>To manage bushfire risk, we need to firstly have a clear understanding of the predicted risk and the influencing factors.</w:t>
      </w:r>
    </w:p>
    <w:p w:rsidR="008A6888" w:rsidRPr="008A6888" w:rsidRDefault="008A6888" w:rsidP="008A6888">
      <w:pPr>
        <w:pStyle w:val="Body"/>
        <w:spacing w:after="120"/>
        <w:rPr>
          <w:rFonts w:asciiTheme="minorHAnsi" w:hAnsiTheme="minorHAnsi"/>
        </w:rPr>
      </w:pPr>
      <w:r w:rsidRPr="008A6888">
        <w:rPr>
          <w:rFonts w:asciiTheme="minorHAnsi" w:hAnsiTheme="minorHAnsi"/>
        </w:rPr>
        <w:t xml:space="preserve">Over several years, the Department of Environment, Land, Water and Planning (DELWP) and Parks Victoria (PV) have worked in conjunction with the University of Melbourne and Bushfire and Natural Hazards Cooperative Research Centre to develop PHOENIX </w:t>
      </w:r>
      <w:proofErr w:type="spellStart"/>
      <w:r w:rsidRPr="008A6888">
        <w:rPr>
          <w:rFonts w:asciiTheme="minorHAnsi" w:hAnsiTheme="minorHAnsi"/>
        </w:rPr>
        <w:t>RapidFire</w:t>
      </w:r>
      <w:proofErr w:type="spellEnd"/>
      <w:r w:rsidRPr="008A6888">
        <w:rPr>
          <w:rFonts w:asciiTheme="minorHAnsi" w:hAnsiTheme="minorHAnsi"/>
        </w:rPr>
        <w:t>, bushfire simulation software.</w:t>
      </w:r>
    </w:p>
    <w:p w:rsidR="008A6888" w:rsidRPr="008A6888" w:rsidRDefault="008A6888" w:rsidP="008A6888">
      <w:pPr>
        <w:pStyle w:val="Body"/>
        <w:spacing w:after="120"/>
        <w:rPr>
          <w:rFonts w:asciiTheme="minorHAnsi" w:hAnsiTheme="minorHAnsi"/>
        </w:rPr>
      </w:pPr>
      <w:r w:rsidRPr="008A6888">
        <w:rPr>
          <w:rFonts w:asciiTheme="minorHAnsi" w:hAnsiTheme="minorHAnsi"/>
        </w:rPr>
        <w:t xml:space="preserve">PHOENIX predicts how bushfires spread from a grid of ignition points, given variables including: </w:t>
      </w:r>
    </w:p>
    <w:p w:rsidR="008A6888" w:rsidRPr="008A6888" w:rsidRDefault="008A6888" w:rsidP="008A6888">
      <w:pPr>
        <w:pStyle w:val="Bullet"/>
        <w:rPr>
          <w:rFonts w:asciiTheme="minorHAnsi" w:hAnsiTheme="minorHAnsi"/>
        </w:rPr>
      </w:pPr>
      <w:r w:rsidRPr="008A6888">
        <w:rPr>
          <w:rFonts w:asciiTheme="minorHAnsi" w:hAnsiTheme="minorHAnsi"/>
        </w:rPr>
        <w:t>terrain and fuel (as a result of fire history, type of vegetation and modelled fuel accumulation) at the starting point and along spread paths</w:t>
      </w:r>
    </w:p>
    <w:p w:rsidR="008A6888" w:rsidRPr="008A6888" w:rsidRDefault="008A6888" w:rsidP="008A6888">
      <w:pPr>
        <w:pStyle w:val="Bullet"/>
        <w:rPr>
          <w:rFonts w:asciiTheme="minorHAnsi" w:hAnsiTheme="minorHAnsi"/>
        </w:rPr>
      </w:pPr>
      <w:r w:rsidRPr="008A6888">
        <w:rPr>
          <w:rFonts w:asciiTheme="minorHAnsi" w:hAnsiTheme="minorHAnsi"/>
        </w:rPr>
        <w:t>weather conditions</w:t>
      </w:r>
    </w:p>
    <w:p w:rsidR="008A6888" w:rsidRPr="008A6888" w:rsidRDefault="008A6888" w:rsidP="008A6888">
      <w:pPr>
        <w:pStyle w:val="Body"/>
        <w:spacing w:after="120"/>
        <w:rPr>
          <w:rFonts w:asciiTheme="minorHAnsi" w:hAnsiTheme="minorHAnsi"/>
        </w:rPr>
      </w:pPr>
      <w:r w:rsidRPr="008A6888">
        <w:rPr>
          <w:rFonts w:asciiTheme="minorHAnsi" w:hAnsiTheme="minorHAnsi"/>
        </w:rPr>
        <w:t>These scenarios can predict fire behaviour, showing characteristics such as flame height, ember density, spotting density and convection column intensity.</w:t>
      </w:r>
    </w:p>
    <w:p w:rsidR="008A6888" w:rsidRPr="002455DE" w:rsidRDefault="008A6888" w:rsidP="008A6888">
      <w:pPr>
        <w:pStyle w:val="A3HE"/>
        <w:rPr>
          <w:sz w:val="34"/>
          <w:szCs w:val="34"/>
        </w:rPr>
      </w:pPr>
      <w:r w:rsidRPr="002455DE">
        <w:rPr>
          <w:sz w:val="34"/>
          <w:szCs w:val="34"/>
        </w:rPr>
        <w:t>How was it used in the development of the plan?</w:t>
      </w:r>
    </w:p>
    <w:p w:rsidR="008A6888" w:rsidRPr="002455DE" w:rsidRDefault="008A6888" w:rsidP="008A6888">
      <w:pPr>
        <w:pStyle w:val="Body"/>
        <w:rPr>
          <w:rFonts w:asciiTheme="minorHAnsi" w:hAnsiTheme="minorHAnsi"/>
        </w:rPr>
      </w:pPr>
      <w:r w:rsidRPr="002455DE">
        <w:rPr>
          <w:rFonts w:asciiTheme="minorHAnsi" w:hAnsiTheme="minorHAnsi"/>
        </w:rPr>
        <w:t>The models guide where planned burning and other fuel treatment methods will be most effective in reducing the risk of bushfire, and in protecting people, property and the environment. In addition to the planning and operational benefits, bushfire simulation is also a highly visual way of engaging communities with the risks they face.</w:t>
      </w:r>
    </w:p>
    <w:p w:rsidR="008A6888" w:rsidRPr="002455DE" w:rsidRDefault="008A6888" w:rsidP="008A6888">
      <w:pPr>
        <w:pStyle w:val="Body"/>
        <w:rPr>
          <w:rFonts w:asciiTheme="minorHAnsi" w:hAnsiTheme="minorHAnsi"/>
          <w:b/>
        </w:rPr>
      </w:pPr>
      <w:r w:rsidRPr="002455DE">
        <w:rPr>
          <w:rFonts w:asciiTheme="minorHAnsi" w:hAnsiTheme="minorHAnsi"/>
        </w:rPr>
        <w:t xml:space="preserve">The DELWP landscape planning team and the Internal Working Group then combine Phoenix model outputs with detailed risk analysis to assess bushfire risk profiles based on likelihood and consequence of bushfire affecting each </w:t>
      </w:r>
      <w:r w:rsidRPr="002455DE">
        <w:rPr>
          <w:rFonts w:asciiTheme="minorHAnsi" w:hAnsiTheme="minorHAnsi"/>
        </w:rPr>
        <w:lastRenderedPageBreak/>
        <w:t xml:space="preserve">of the priorities. (For more information, see factsheet </w:t>
      </w:r>
      <w:r w:rsidRPr="002455DE">
        <w:rPr>
          <w:rFonts w:asciiTheme="minorHAnsi" w:hAnsiTheme="minorHAnsi"/>
          <w:b/>
          <w:i/>
        </w:rPr>
        <w:t>Assessing risk</w:t>
      </w:r>
      <w:r w:rsidRPr="002455DE">
        <w:rPr>
          <w:rFonts w:asciiTheme="minorHAnsi" w:hAnsiTheme="minorHAnsi"/>
        </w:rPr>
        <w:t>.)</w:t>
      </w:r>
    </w:p>
    <w:p w:rsidR="008A6888" w:rsidRPr="002455DE" w:rsidRDefault="008A6888" w:rsidP="008A6888">
      <w:pPr>
        <w:pStyle w:val="A3HE"/>
        <w:rPr>
          <w:sz w:val="34"/>
          <w:szCs w:val="34"/>
        </w:rPr>
      </w:pPr>
      <w:r w:rsidRPr="002455DE">
        <w:rPr>
          <w:sz w:val="34"/>
          <w:szCs w:val="34"/>
        </w:rPr>
        <w:t>What is residual risk?</w:t>
      </w:r>
    </w:p>
    <w:p w:rsidR="008A6888" w:rsidRDefault="008A6888" w:rsidP="008A6888">
      <w:pPr>
        <w:pStyle w:val="Body"/>
        <w:rPr>
          <w:rFonts w:asciiTheme="minorHAnsi" w:hAnsiTheme="minorHAnsi"/>
        </w:rPr>
      </w:pPr>
      <w:r w:rsidRPr="002455DE">
        <w:rPr>
          <w:rFonts w:asciiTheme="minorHAnsi" w:hAnsiTheme="minorHAnsi"/>
        </w:rPr>
        <w:t>One way DELWP measures the effectiveness of the strategy is by how well it reduces the residual risk of bushfire. Residual risk is the percentage of bushfire risk that remains after fuel management activities and fire history. (See Figure 1 below.)</w:t>
      </w:r>
    </w:p>
    <w:p w:rsidR="00F3096B" w:rsidRDefault="00F3096B" w:rsidP="008A6888">
      <w:pPr>
        <w:pStyle w:val="Body"/>
        <w:rPr>
          <w:rFonts w:asciiTheme="minorHAnsi" w:hAnsiTheme="minorHAnsi"/>
        </w:rPr>
      </w:pPr>
    </w:p>
    <w:p w:rsidR="00F3096B" w:rsidRDefault="00F3096B" w:rsidP="00F3096B">
      <w:pPr>
        <w:pStyle w:val="Body"/>
        <w:jc w:val="center"/>
        <w:rPr>
          <w:rFonts w:asciiTheme="minorHAnsi" w:hAnsiTheme="minorHAnsi"/>
          <w:b/>
          <w:sz w:val="18"/>
          <w:szCs w:val="18"/>
        </w:rPr>
      </w:pPr>
      <w:r>
        <w:rPr>
          <w:rFonts w:asciiTheme="minorHAnsi" w:hAnsiTheme="minorHAnsi"/>
          <w:b/>
          <w:noProof/>
          <w:sz w:val="18"/>
          <w:szCs w:val="18"/>
        </w:rPr>
        <w:drawing>
          <wp:anchor distT="0" distB="0" distL="114300" distR="114300" simplePos="0" relativeHeight="251669504" behindDoc="1" locked="0" layoutInCell="1" allowOverlap="1">
            <wp:simplePos x="0" y="0"/>
            <wp:positionH relativeFrom="column">
              <wp:posOffset>-72390</wp:posOffset>
            </wp:positionH>
            <wp:positionV relativeFrom="paragraph">
              <wp:posOffset>36830</wp:posOffset>
            </wp:positionV>
            <wp:extent cx="3199765" cy="2464435"/>
            <wp:effectExtent l="19050" t="0" r="635" b="0"/>
            <wp:wrapSquare wrapText="bothSides"/>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dual risk_B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9765" cy="2464435"/>
                    </a:xfrm>
                    <a:prstGeom prst="rect">
                      <a:avLst/>
                    </a:prstGeom>
                  </pic:spPr>
                </pic:pic>
              </a:graphicData>
            </a:graphic>
          </wp:anchor>
        </w:drawing>
      </w:r>
      <w:r w:rsidRPr="002455DE">
        <w:rPr>
          <w:rFonts w:asciiTheme="minorHAnsi" w:hAnsiTheme="minorHAnsi"/>
          <w:b/>
          <w:sz w:val="18"/>
          <w:szCs w:val="18"/>
        </w:rPr>
        <w:t>Figure 1: Residual Risk</w:t>
      </w:r>
    </w:p>
    <w:p w:rsidR="00D83765" w:rsidRDefault="00D83765" w:rsidP="00D83765">
      <w:pPr>
        <w:pStyle w:val="Body"/>
        <w:rPr>
          <w:rFonts w:asciiTheme="minorHAnsi" w:hAnsiTheme="minorHAnsi"/>
        </w:rPr>
      </w:pPr>
      <w:r w:rsidRPr="002455DE">
        <w:rPr>
          <w:rFonts w:asciiTheme="minorHAnsi" w:hAnsiTheme="minorHAnsi"/>
        </w:rPr>
        <w:t xml:space="preserve">Residual risk is determined by the complex mosaic of fuel-reduced and bushfire-burnt patches across the landscape. PHOENIX </w:t>
      </w:r>
      <w:proofErr w:type="spellStart"/>
      <w:r w:rsidRPr="002455DE">
        <w:rPr>
          <w:rFonts w:asciiTheme="minorHAnsi" w:hAnsiTheme="minorHAnsi"/>
        </w:rPr>
        <w:t>RapidFire</w:t>
      </w:r>
      <w:proofErr w:type="spellEnd"/>
      <w:r w:rsidRPr="002455DE">
        <w:rPr>
          <w:rFonts w:asciiTheme="minorHAnsi" w:hAnsiTheme="minorHAnsi"/>
        </w:rPr>
        <w:t xml:space="preserve"> can simulate the reduction in residual risk at any particular location or</w:t>
      </w:r>
      <w:r>
        <w:rPr>
          <w:rFonts w:asciiTheme="minorHAnsi" w:hAnsiTheme="minorHAnsi"/>
        </w:rPr>
        <w:t xml:space="preserve"> </w:t>
      </w:r>
      <w:r w:rsidRPr="002455DE">
        <w:rPr>
          <w:rFonts w:asciiTheme="minorHAnsi" w:hAnsiTheme="minorHAnsi"/>
        </w:rPr>
        <w:t>point in time. Note that whilst risk can never be</w:t>
      </w:r>
      <w:r w:rsidRPr="00D83765">
        <w:rPr>
          <w:rFonts w:asciiTheme="minorHAnsi" w:hAnsiTheme="minorHAnsi"/>
        </w:rPr>
        <w:t xml:space="preserve"> </w:t>
      </w:r>
      <w:r w:rsidRPr="002455DE">
        <w:rPr>
          <w:rFonts w:asciiTheme="minorHAnsi" w:hAnsiTheme="minorHAnsi"/>
        </w:rPr>
        <w:t>eliminated, risk reductio</w:t>
      </w:r>
      <w:r>
        <w:rPr>
          <w:rFonts w:asciiTheme="minorHAnsi" w:hAnsiTheme="minorHAnsi"/>
        </w:rPr>
        <w:t>n outcome</w:t>
      </w:r>
    </w:p>
    <w:p w:rsidR="008A6888" w:rsidRDefault="008A6888" w:rsidP="00D83765">
      <w:pPr>
        <w:pStyle w:val="Body"/>
        <w:rPr>
          <w:rFonts w:asciiTheme="minorHAnsi" w:hAnsiTheme="minorHAnsi"/>
          <w:b/>
          <w:sz w:val="18"/>
          <w:szCs w:val="18"/>
        </w:rPr>
        <w:sectPr w:rsidR="008A6888" w:rsidSect="00F3096B">
          <w:headerReference w:type="even" r:id="rId10"/>
          <w:headerReference w:type="default" r:id="rId11"/>
          <w:footerReference w:type="even" r:id="rId12"/>
          <w:footerReference w:type="default" r:id="rId13"/>
          <w:headerReference w:type="first" r:id="rId14"/>
          <w:footerReference w:type="first" r:id="rId15"/>
          <w:pgSz w:w="11906" w:h="16838"/>
          <w:pgMar w:top="7088" w:right="707" w:bottom="993" w:left="851" w:header="426" w:footer="580" w:gutter="0"/>
          <w:cols w:num="2" w:space="708"/>
          <w:docGrid w:linePitch="360"/>
        </w:sectPr>
      </w:pPr>
    </w:p>
    <w:p w:rsidR="008A6888" w:rsidRPr="002455DE" w:rsidRDefault="00D83765" w:rsidP="008A6888">
      <w:pPr>
        <w:pStyle w:val="Body"/>
        <w:spacing w:after="0"/>
        <w:rPr>
          <w:rFonts w:asciiTheme="minorHAnsi" w:hAnsiTheme="minorHAnsi"/>
        </w:rPr>
      </w:pPr>
      <w:r>
        <w:rPr>
          <w:rFonts w:asciiTheme="minorHAnsi" w:hAnsiTheme="minorHAnsi"/>
        </w:rPr>
        <w:lastRenderedPageBreak/>
        <w:t>is better when fuels are managed</w:t>
      </w:r>
      <w:r w:rsidR="008A6888" w:rsidRPr="002455DE">
        <w:rPr>
          <w:rFonts w:asciiTheme="minorHAnsi" w:hAnsiTheme="minorHAnsi"/>
        </w:rPr>
        <w:t xml:space="preserve"> on both public and private land.</w:t>
      </w:r>
    </w:p>
    <w:p w:rsidR="008A6888" w:rsidRPr="002455DE" w:rsidRDefault="008A6888" w:rsidP="008A6888">
      <w:pPr>
        <w:pStyle w:val="A3HE"/>
      </w:pPr>
      <w:r w:rsidRPr="002455DE">
        <w:t>Inputs will be refined over time</w:t>
      </w:r>
    </w:p>
    <w:p w:rsidR="008A6888" w:rsidRPr="002455DE" w:rsidRDefault="008A6888" w:rsidP="008A6888">
      <w:pPr>
        <w:pStyle w:val="Body"/>
        <w:spacing w:after="120"/>
        <w:rPr>
          <w:rFonts w:asciiTheme="minorHAnsi" w:hAnsiTheme="minorHAnsi"/>
        </w:rPr>
      </w:pPr>
      <w:r w:rsidRPr="002455DE">
        <w:rPr>
          <w:rFonts w:asciiTheme="minorHAnsi" w:hAnsiTheme="minorHAnsi"/>
        </w:rPr>
        <w:t xml:space="preserve">As information is updated, it will strengthen the models Phoenix produces.  Currently, Phoenix uses ‘Address Points’ from the 2011 Victorian Fire Risk Register as a proxy for loss of property and life. </w:t>
      </w:r>
    </w:p>
    <w:p w:rsidR="00D83765" w:rsidRDefault="008A6888" w:rsidP="008A6888">
      <w:pPr>
        <w:pStyle w:val="Body"/>
        <w:spacing w:after="0"/>
        <w:rPr>
          <w:rFonts w:asciiTheme="minorHAnsi" w:hAnsiTheme="minorHAnsi"/>
        </w:rPr>
      </w:pPr>
      <w:r w:rsidRPr="002455DE">
        <w:rPr>
          <w:rFonts w:asciiTheme="minorHAnsi" w:hAnsiTheme="minorHAnsi"/>
        </w:rPr>
        <w:t>This data is being updated over time but leads to anomalies that require the input of local knowledge. New housing developments (post-2011) are not shown, which leads to risk being underestimated in growing towns.</w:t>
      </w:r>
    </w:p>
    <w:p w:rsidR="008A6888" w:rsidRPr="002455DE" w:rsidRDefault="008A6888" w:rsidP="008A6888">
      <w:pPr>
        <w:pStyle w:val="Body"/>
        <w:spacing w:after="0"/>
        <w:rPr>
          <w:rFonts w:asciiTheme="minorHAnsi" w:hAnsiTheme="minorHAnsi"/>
        </w:rPr>
      </w:pPr>
      <w:r w:rsidRPr="002455DE">
        <w:rPr>
          <w:rFonts w:asciiTheme="minorHAnsi" w:hAnsiTheme="minorHAnsi"/>
        </w:rPr>
        <w:t xml:space="preserve">  </w:t>
      </w:r>
    </w:p>
    <w:p w:rsidR="00D83765" w:rsidRDefault="008A6888" w:rsidP="008A6888">
      <w:pPr>
        <w:pStyle w:val="Body"/>
        <w:rPr>
          <w:rFonts w:asciiTheme="minorHAnsi" w:hAnsiTheme="minorHAnsi"/>
        </w:rPr>
      </w:pPr>
      <w:r w:rsidRPr="002455DE">
        <w:rPr>
          <w:rFonts w:asciiTheme="minorHAnsi" w:hAnsiTheme="minorHAnsi"/>
        </w:rPr>
        <w:lastRenderedPageBreak/>
        <w:t>In other areas, risk has been overestimated due to out-of-date records on the register. For example, the historic gold mining township of Grant, north of Dargo has no dwellings, but still shows up as many houses, which leads to h</w:t>
      </w:r>
      <w:r w:rsidR="00F3096B">
        <w:rPr>
          <w:rFonts w:asciiTheme="minorHAnsi" w:hAnsiTheme="minorHAnsi"/>
        </w:rPr>
        <w:t>igher modelled risk in that area</w:t>
      </w:r>
    </w:p>
    <w:p w:rsidR="00D83765" w:rsidRDefault="00D83765" w:rsidP="008A6888">
      <w:pPr>
        <w:pStyle w:val="Body"/>
        <w:rPr>
          <w:rFonts w:asciiTheme="minorHAnsi" w:hAnsiTheme="minorHAnsi"/>
        </w:rPr>
      </w:pPr>
    </w:p>
    <w:p w:rsidR="00D83765" w:rsidRDefault="00D83765" w:rsidP="008A6888">
      <w:pPr>
        <w:pStyle w:val="Body"/>
        <w:rPr>
          <w:rFonts w:asciiTheme="minorHAnsi" w:hAnsiTheme="minorHAnsi"/>
        </w:rPr>
      </w:pPr>
    </w:p>
    <w:p w:rsidR="00D83765" w:rsidRDefault="00D83765" w:rsidP="008A6888">
      <w:pPr>
        <w:pStyle w:val="Body"/>
        <w:rPr>
          <w:rFonts w:asciiTheme="minorHAnsi" w:hAnsiTheme="minorHAnsi"/>
        </w:rPr>
      </w:pPr>
    </w:p>
    <w:p w:rsidR="00D83765" w:rsidRDefault="00D83765" w:rsidP="008A6888">
      <w:pPr>
        <w:pStyle w:val="Body"/>
        <w:rPr>
          <w:rFonts w:asciiTheme="minorHAnsi" w:hAnsiTheme="minorHAnsi"/>
        </w:rPr>
      </w:pPr>
    </w:p>
    <w:p w:rsidR="008A6888" w:rsidRDefault="00F3096B" w:rsidP="008A6888">
      <w:pPr>
        <w:pStyle w:val="Body"/>
        <w:rPr>
          <w:rFonts w:asciiTheme="minorHAnsi" w:hAnsiTheme="minorHAnsi"/>
        </w:rPr>
        <w:sectPr w:rsidR="008A6888" w:rsidSect="00655526">
          <w:headerReference w:type="default" r:id="rId16"/>
          <w:pgSz w:w="11906" w:h="16838"/>
          <w:pgMar w:top="1254" w:right="991" w:bottom="851" w:left="851" w:header="142" w:footer="708" w:gutter="0"/>
          <w:cols w:num="2" w:space="708"/>
          <w:docGrid w:linePitch="360"/>
        </w:sectPr>
      </w:pPr>
      <w:r>
        <w:rPr>
          <w:rFonts w:asciiTheme="minorHAnsi" w:hAnsiTheme="minorHAnsi"/>
        </w:rPr>
        <w:t>.</w:t>
      </w:r>
    </w:p>
    <w:tbl>
      <w:tblPr>
        <w:tblStyle w:val="TableGrid"/>
        <w:tblW w:w="10456" w:type="dxa"/>
        <w:tblBorders>
          <w:top w:val="dashSmallGap" w:sz="18" w:space="0" w:color="5AA4AD"/>
          <w:left w:val="dashSmallGap" w:sz="18" w:space="0" w:color="5AA4AD"/>
          <w:bottom w:val="dashSmallGap" w:sz="18" w:space="0" w:color="5AA4AD"/>
          <w:right w:val="dashSmallGap" w:sz="18" w:space="0" w:color="5AA4AD"/>
          <w:insideH w:val="none" w:sz="0" w:space="0" w:color="auto"/>
          <w:insideV w:val="none" w:sz="0" w:space="0" w:color="auto"/>
        </w:tblBorders>
        <w:tblLook w:val="04A0" w:firstRow="1" w:lastRow="0" w:firstColumn="1" w:lastColumn="0" w:noHBand="0" w:noVBand="1"/>
      </w:tblPr>
      <w:tblGrid>
        <w:gridCol w:w="5637"/>
        <w:gridCol w:w="4819"/>
      </w:tblGrid>
      <w:tr w:rsidR="008A6888" w:rsidTr="00655526">
        <w:trPr>
          <w:trHeight w:val="3075"/>
        </w:trPr>
        <w:tc>
          <w:tcPr>
            <w:tcW w:w="5637" w:type="dxa"/>
          </w:tcPr>
          <w:p w:rsidR="008A6888" w:rsidRDefault="008A6888" w:rsidP="00655526">
            <w:pPr>
              <w:pStyle w:val="Body"/>
              <w:spacing w:before="240"/>
              <w:ind w:left="142"/>
            </w:pPr>
            <w:r>
              <w:rPr>
                <w:rFonts w:eastAsia="Calibri"/>
                <w:noProof/>
              </w:rPr>
              <w:lastRenderedPageBreak/>
              <w:drawing>
                <wp:inline distT="0" distB="0" distL="0" distR="0">
                  <wp:extent cx="3240000" cy="1807352"/>
                  <wp:effectExtent l="19050" t="0" r="0" b="0"/>
                  <wp:docPr id="5" name="Picture 1" descr="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
                          <pic:cNvPicPr>
                            <a:picLocks noChangeAspect="1" noChangeArrowheads="1"/>
                          </pic:cNvPicPr>
                        </pic:nvPicPr>
                        <pic:blipFill>
                          <a:blip r:embed="rId17" cstate="print"/>
                          <a:srcRect t="4491" b="1738"/>
                          <a:stretch>
                            <a:fillRect/>
                          </a:stretch>
                        </pic:blipFill>
                        <pic:spPr bwMode="auto">
                          <a:xfrm>
                            <a:off x="0" y="0"/>
                            <a:ext cx="3240000" cy="1807352"/>
                          </a:xfrm>
                          <a:prstGeom prst="rect">
                            <a:avLst/>
                          </a:prstGeom>
                          <a:noFill/>
                          <a:ln w="9525">
                            <a:noFill/>
                            <a:miter lim="800000"/>
                            <a:headEnd/>
                            <a:tailEnd/>
                          </a:ln>
                        </pic:spPr>
                      </pic:pic>
                    </a:graphicData>
                  </a:graphic>
                </wp:inline>
              </w:drawing>
            </w:r>
          </w:p>
        </w:tc>
        <w:tc>
          <w:tcPr>
            <w:tcW w:w="4819" w:type="dxa"/>
          </w:tcPr>
          <w:p w:rsidR="008A6888" w:rsidRPr="008A6888" w:rsidRDefault="008A6888" w:rsidP="00655526">
            <w:pPr>
              <w:pStyle w:val="Body"/>
              <w:spacing w:before="240"/>
              <w:ind w:right="175"/>
              <w:rPr>
                <w:rFonts w:asciiTheme="minorHAnsi" w:hAnsiTheme="minorHAnsi"/>
                <w:b/>
              </w:rPr>
            </w:pPr>
            <w:r w:rsidRPr="008A6888">
              <w:rPr>
                <w:rFonts w:asciiTheme="minorHAnsi" w:hAnsiTheme="minorHAnsi"/>
                <w:b/>
              </w:rPr>
              <w:t xml:space="preserve">(Left) Map of the simulated and actual </w:t>
            </w:r>
            <w:r w:rsidR="00655526" w:rsidRPr="008A6888">
              <w:rPr>
                <w:rFonts w:asciiTheme="minorHAnsi" w:hAnsiTheme="minorHAnsi"/>
                <w:b/>
              </w:rPr>
              <w:t>extent</w:t>
            </w:r>
            <w:r w:rsidRPr="008A6888">
              <w:rPr>
                <w:rFonts w:asciiTheme="minorHAnsi" w:hAnsiTheme="minorHAnsi"/>
                <w:b/>
              </w:rPr>
              <w:t xml:space="preserve"> of 2011 Tostaree bushfire</w:t>
            </w:r>
          </w:p>
          <w:p w:rsidR="008A6888" w:rsidRPr="008A6888" w:rsidRDefault="009E08E3" w:rsidP="00655526">
            <w:pPr>
              <w:pStyle w:val="Body"/>
              <w:spacing w:before="240"/>
              <w:ind w:right="175"/>
              <w:rPr>
                <w:rFonts w:asciiTheme="minorHAnsi" w:hAnsiTheme="minorHAnsi"/>
              </w:rPr>
            </w:pPr>
            <w:r>
              <w:rPr>
                <w:rFonts w:asciiTheme="minorHAnsi" w:hAnsiTheme="minorHAnsi"/>
              </w:rPr>
              <w:t>This</w:t>
            </w:r>
            <w:r w:rsidR="008A6888" w:rsidRPr="008A6888">
              <w:rPr>
                <w:rFonts w:asciiTheme="minorHAnsi" w:hAnsiTheme="minorHAnsi"/>
              </w:rPr>
              <w:t xml:space="preserve"> map shows the actual and simulated fire extent and intensity, as well as the effectiveness of planned burning in slowing or stopping the spread.</w:t>
            </w:r>
          </w:p>
        </w:tc>
      </w:tr>
      <w:tr w:rsidR="008A6888" w:rsidTr="009E08E3">
        <w:tc>
          <w:tcPr>
            <w:tcW w:w="5637" w:type="dxa"/>
          </w:tcPr>
          <w:p w:rsidR="008A6888" w:rsidRDefault="008A6888" w:rsidP="00655526">
            <w:pPr>
              <w:pStyle w:val="Body"/>
              <w:spacing w:before="240"/>
              <w:ind w:left="142"/>
            </w:pPr>
            <w:r>
              <w:rPr>
                <w:rFonts w:eastAsia="Calibri"/>
                <w:noProof/>
              </w:rPr>
              <w:drawing>
                <wp:inline distT="0" distB="0" distL="0" distR="0">
                  <wp:extent cx="3240000" cy="1761843"/>
                  <wp:effectExtent l="19050" t="0" r="0" b="0"/>
                  <wp:docPr id="6" name="Picture 4" descr="M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3"/>
                          <pic:cNvPicPr>
                            <a:picLocks noChangeAspect="1" noChangeArrowheads="1"/>
                          </pic:cNvPicPr>
                        </pic:nvPicPr>
                        <pic:blipFill>
                          <a:blip r:embed="rId18" cstate="print"/>
                          <a:srcRect t="3966" b="2029"/>
                          <a:stretch>
                            <a:fillRect/>
                          </a:stretch>
                        </pic:blipFill>
                        <pic:spPr bwMode="auto">
                          <a:xfrm>
                            <a:off x="0" y="0"/>
                            <a:ext cx="3240000" cy="1761843"/>
                          </a:xfrm>
                          <a:prstGeom prst="rect">
                            <a:avLst/>
                          </a:prstGeom>
                          <a:noFill/>
                          <a:ln w="9525">
                            <a:noFill/>
                            <a:miter lim="800000"/>
                            <a:headEnd/>
                            <a:tailEnd/>
                          </a:ln>
                        </pic:spPr>
                      </pic:pic>
                    </a:graphicData>
                  </a:graphic>
                </wp:inline>
              </w:drawing>
            </w:r>
          </w:p>
        </w:tc>
        <w:tc>
          <w:tcPr>
            <w:tcW w:w="4819" w:type="dxa"/>
          </w:tcPr>
          <w:p w:rsidR="008A6888" w:rsidRDefault="008A6888" w:rsidP="00655526">
            <w:pPr>
              <w:pStyle w:val="Body"/>
              <w:spacing w:before="240"/>
              <w:ind w:right="175"/>
              <w:rPr>
                <w:rFonts w:asciiTheme="minorHAnsi" w:hAnsiTheme="minorHAnsi"/>
                <w:b/>
              </w:rPr>
            </w:pPr>
            <w:r w:rsidRPr="008A6888">
              <w:rPr>
                <w:rFonts w:asciiTheme="minorHAnsi" w:hAnsiTheme="minorHAnsi"/>
                <w:b/>
              </w:rPr>
              <w:t xml:space="preserve">(Left) Map of the </w:t>
            </w:r>
            <w:r>
              <w:rPr>
                <w:rFonts w:asciiTheme="minorHAnsi" w:hAnsiTheme="minorHAnsi"/>
                <w:b/>
              </w:rPr>
              <w:t xml:space="preserve">Phoenix </w:t>
            </w:r>
            <w:proofErr w:type="spellStart"/>
            <w:r>
              <w:rPr>
                <w:rFonts w:asciiTheme="minorHAnsi" w:hAnsiTheme="minorHAnsi"/>
                <w:b/>
              </w:rPr>
              <w:t>RapidFire</w:t>
            </w:r>
            <w:proofErr w:type="spellEnd"/>
            <w:r>
              <w:rPr>
                <w:rFonts w:asciiTheme="minorHAnsi" w:hAnsiTheme="minorHAnsi"/>
                <w:b/>
              </w:rPr>
              <w:t xml:space="preserve"> </w:t>
            </w:r>
            <w:r w:rsidRPr="008A6888">
              <w:rPr>
                <w:rFonts w:asciiTheme="minorHAnsi" w:hAnsiTheme="minorHAnsi"/>
                <w:b/>
              </w:rPr>
              <w:t xml:space="preserve">simulated </w:t>
            </w:r>
            <w:r>
              <w:rPr>
                <w:rFonts w:asciiTheme="minorHAnsi" w:hAnsiTheme="minorHAnsi"/>
                <w:b/>
              </w:rPr>
              <w:t xml:space="preserve">potential spread of the 2011 </w:t>
            </w:r>
            <w:r w:rsidRPr="008A6888">
              <w:rPr>
                <w:rFonts w:asciiTheme="minorHAnsi" w:hAnsiTheme="minorHAnsi"/>
                <w:b/>
              </w:rPr>
              <w:t>Tostaree bushfire</w:t>
            </w:r>
            <w:r>
              <w:rPr>
                <w:rFonts w:asciiTheme="minorHAnsi" w:hAnsiTheme="minorHAnsi"/>
                <w:b/>
              </w:rPr>
              <w:t xml:space="preserve"> without planned burning</w:t>
            </w:r>
          </w:p>
          <w:p w:rsidR="008A6888" w:rsidRPr="008A6888" w:rsidRDefault="009E08E3" w:rsidP="00655526">
            <w:pPr>
              <w:pStyle w:val="Body"/>
              <w:spacing w:before="240"/>
              <w:ind w:right="175"/>
              <w:rPr>
                <w:rFonts w:asciiTheme="minorHAnsi" w:hAnsiTheme="minorHAnsi"/>
              </w:rPr>
            </w:pPr>
            <w:r>
              <w:rPr>
                <w:rFonts w:asciiTheme="minorHAnsi" w:hAnsiTheme="minorHAnsi"/>
              </w:rPr>
              <w:t>This map shows that the Tostaree bushfire could have been three times larger, posing a much greater risk to life and property.</w:t>
            </w:r>
          </w:p>
        </w:tc>
      </w:tr>
    </w:tbl>
    <w:p w:rsidR="00EC5FDD" w:rsidRPr="00034034" w:rsidRDefault="008A6888" w:rsidP="00655526">
      <w:pPr>
        <w:pStyle w:val="Caption"/>
        <w:jc w:val="center"/>
        <w:rPr>
          <w:rFonts w:asciiTheme="minorHAnsi" w:hAnsiTheme="minorHAnsi"/>
          <w:color w:val="31849B" w:themeColor="accent5" w:themeShade="BF"/>
          <w:sz w:val="24"/>
          <w:szCs w:val="24"/>
        </w:rPr>
      </w:pPr>
      <w:r>
        <w:rPr>
          <w:rFonts w:asciiTheme="minorHAnsi" w:hAnsiTheme="minorHAnsi"/>
          <w:color w:val="31849B" w:themeColor="accent5" w:themeShade="BF"/>
          <w:sz w:val="24"/>
          <w:szCs w:val="24"/>
        </w:rPr>
        <w:t>Case study: Tostaree bushfire 2011, actual and simulated</w:t>
      </w:r>
    </w:p>
    <w:p w:rsidR="00655526" w:rsidRPr="00F3096B" w:rsidRDefault="00581452" w:rsidP="00581452">
      <w:pPr>
        <w:rPr>
          <w:rFonts w:cs="Arial"/>
          <w:sz w:val="14"/>
        </w:rPr>
      </w:pPr>
      <w:r>
        <w:rPr>
          <w:rFonts w:cs="Arial"/>
          <w:noProof/>
          <w:sz w:val="18"/>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4137025</wp:posOffset>
                </wp:positionV>
                <wp:extent cx="6777990" cy="1807210"/>
                <wp:effectExtent l="381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180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56" w:type="dxa"/>
                              <w:tblLook w:val="01E0" w:firstRow="1" w:lastRow="1" w:firstColumn="1" w:lastColumn="1" w:noHBand="0" w:noVBand="0"/>
                            </w:tblPr>
                            <w:tblGrid>
                              <w:gridCol w:w="5228"/>
                              <w:gridCol w:w="5228"/>
                            </w:tblGrid>
                            <w:tr w:rsidR="00F3096B" w:rsidRPr="00D75CC5" w:rsidTr="00E55617">
                              <w:trPr>
                                <w:trHeight w:val="2554"/>
                              </w:trPr>
                              <w:tc>
                                <w:tcPr>
                                  <w:tcW w:w="5228" w:type="dxa"/>
                                  <w:hideMark/>
                                </w:tcPr>
                                <w:p w:rsidR="00F3096B" w:rsidRPr="00D75CC5" w:rsidRDefault="00F3096B" w:rsidP="00D921C7">
                                  <w:pPr>
                                    <w:pStyle w:val="ImprintText"/>
                                    <w:rPr>
                                      <w:rFonts w:ascii="Arial" w:hAnsi="Arial"/>
                                    </w:rPr>
                                  </w:pPr>
                                  <w:r w:rsidRPr="00D75CC5">
                                    <w:rPr>
                                      <w:rFonts w:ascii="Arial" w:hAnsi="Arial"/>
                                    </w:rPr>
                                    <w:t xml:space="preserve">© The State of Victoria Department of Environment, Land, Water and </w:t>
                                  </w:r>
                                  <w:r w:rsidRPr="00D75CC5">
                                    <w:rPr>
                                      <w:rFonts w:ascii="Arial" w:hAnsi="Arial"/>
                                    </w:rPr>
                                    <w:br/>
                                    <w:t>Planning 2015</w:t>
                                  </w:r>
                                </w:p>
                                <w:p w:rsidR="00F3096B" w:rsidRPr="00D75CC5" w:rsidRDefault="00F3096B" w:rsidP="00D921C7">
                                  <w:pPr>
                                    <w:pStyle w:val="ImprintText"/>
                                    <w:rPr>
                                      <w:rFonts w:ascii="Arial" w:hAnsi="Arial"/>
                                    </w:rPr>
                                  </w:pPr>
                                  <w:r w:rsidRPr="00D75CC5">
                                    <w:rPr>
                                      <w:rFonts w:ascii="Arial" w:hAnsi="Arial"/>
                                      <w:noProof/>
                                    </w:rPr>
                                    <w:drawing>
                                      <wp:inline distT="0" distB="0" distL="0" distR="0" wp14:anchorId="73938768" wp14:editId="7DBE9178">
                                        <wp:extent cx="762000" cy="266700"/>
                                        <wp:effectExtent l="0" t="0" r="0"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inline>
                                    </w:drawing>
                                  </w:r>
                                  <w:r w:rsidRPr="00D75CC5">
                                    <w:rPr>
                                      <w:rFonts w:ascii="Arial" w:hAnsi="Arial"/>
                                    </w:rPr>
                                    <w:t xml:space="preserve">This work is licensed under a </w:t>
                                  </w:r>
                                  <w:hyperlink r:id="rId20" w:history="1">
                                    <w:r w:rsidRPr="00D75CC5">
                                      <w:rPr>
                                        <w:rStyle w:val="Hyperlink"/>
                                        <w:rFonts w:ascii="Arial" w:hAnsi="Arial"/>
                                      </w:rPr>
                                      <w:t>Creative Commons Attribution 4.0 International licence</w:t>
                                    </w:r>
                                  </w:hyperlink>
                                  <w:r w:rsidRPr="00D75CC5">
                                    <w:rPr>
                                      <w:rFonts w:ascii="Arial" w:hAnsi="Arial"/>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D75CC5">
                                      <w:rPr>
                                        <w:rStyle w:val="Hyperlink"/>
                                        <w:rFonts w:ascii="Arial" w:hAnsi="Arial"/>
                                      </w:rPr>
                                      <w:t>http://creativecommons.org/licenses/by/4.0/</w:t>
                                    </w:r>
                                  </w:hyperlink>
                                </w:p>
                                <w:p w:rsidR="00F3096B" w:rsidRPr="00D75CC5" w:rsidRDefault="00F3096B" w:rsidP="008A6888">
                                  <w:pPr>
                                    <w:pStyle w:val="ImprintText"/>
                                    <w:spacing w:after="0"/>
                                    <w:rPr>
                                      <w:rFonts w:ascii="Arial" w:hAnsi="Arial"/>
                                      <w:b/>
                                      <w:bCs/>
                                    </w:rPr>
                                  </w:pPr>
                                  <w:r w:rsidRPr="00034034">
                                    <w:rPr>
                                      <w:rFonts w:asciiTheme="minorHAnsi" w:hAnsiTheme="minorHAnsi"/>
                                    </w:rPr>
                                    <w:t xml:space="preserve">ISBN </w:t>
                                  </w:r>
                                </w:p>
                                <w:p w:rsidR="00F3096B" w:rsidRPr="00D75CC5" w:rsidRDefault="00F3096B" w:rsidP="00E10CD4">
                                  <w:pPr>
                                    <w:pStyle w:val="ImprintText"/>
                                    <w:spacing w:after="0"/>
                                    <w:rPr>
                                      <w:rFonts w:ascii="Arial" w:hAnsi="Arial"/>
                                      <w:b/>
                                      <w:bCs/>
                                    </w:rPr>
                                  </w:pPr>
                                </w:p>
                              </w:tc>
                              <w:tc>
                                <w:tcPr>
                                  <w:tcW w:w="5228" w:type="dxa"/>
                                  <w:hideMark/>
                                </w:tcPr>
                                <w:p w:rsidR="00F3096B" w:rsidRPr="00D75CC5" w:rsidRDefault="00F3096B" w:rsidP="00D921C7">
                                  <w:pPr>
                                    <w:pStyle w:val="ImprintText"/>
                                    <w:rPr>
                                      <w:rFonts w:ascii="Arial" w:hAnsi="Arial"/>
                                    </w:rPr>
                                  </w:pPr>
                                  <w:r w:rsidRPr="00D75CC5">
                                    <w:rPr>
                                      <w:rFonts w:ascii="Arial" w:hAnsi="Arial"/>
                                      <w:b/>
                                      <w:bCs/>
                                    </w:rPr>
                                    <w:t>Disclaimer</w:t>
                                  </w:r>
                                  <w:r w:rsidRPr="00D75CC5">
                                    <w:rPr>
                                      <w:rFonts w:ascii="Arial" w:hAnsi="Arial"/>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3096B" w:rsidRPr="00D75CC5" w:rsidRDefault="00F3096B" w:rsidP="00D921C7">
                                  <w:pPr>
                                    <w:pStyle w:val="ImprintText"/>
                                    <w:spacing w:after="0"/>
                                    <w:rPr>
                                      <w:rFonts w:ascii="Arial" w:hAnsi="Arial"/>
                                      <w:b/>
                                      <w:bCs/>
                                      <w:szCs w:val="16"/>
                                    </w:rPr>
                                  </w:pPr>
                                  <w:r w:rsidRPr="00D75CC5">
                                    <w:rPr>
                                      <w:rFonts w:ascii="Arial" w:hAnsi="Arial"/>
                                      <w:b/>
                                      <w:bCs/>
                                      <w:szCs w:val="16"/>
                                    </w:rPr>
                                    <w:t>Accessibility</w:t>
                                  </w:r>
                                </w:p>
                                <w:p w:rsidR="00F3096B" w:rsidRPr="00D75CC5" w:rsidRDefault="00F3096B" w:rsidP="00D921C7">
                                  <w:pPr>
                                    <w:pStyle w:val="ImprintText"/>
                                    <w:spacing w:after="0"/>
                                    <w:rPr>
                                      <w:rFonts w:ascii="Arial" w:hAnsi="Arial"/>
                                      <w:sz w:val="28"/>
                                      <w:szCs w:val="28"/>
                                    </w:rPr>
                                  </w:pPr>
                                  <w:r w:rsidRPr="00D75CC5">
                                    <w:rPr>
                                      <w:rFonts w:ascii="Arial" w:hAnsi="Arial"/>
                                      <w:szCs w:val="16"/>
                                    </w:rPr>
                                    <w:t xml:space="preserve">If you would like to receive this publication in an alternative format, please telephone DELWP Customer Service Centre 136 186, email </w:t>
                                  </w:r>
                                  <w:hyperlink r:id="rId22" w:history="1">
                                    <w:r w:rsidRPr="00D75CC5">
                                      <w:rPr>
                                        <w:rStyle w:val="Hyperlink"/>
                                        <w:rFonts w:ascii="Arial" w:hAnsi="Arial"/>
                                        <w:szCs w:val="16"/>
                                      </w:rPr>
                                      <w:t>customer.service@delwp.vic.gov.au</w:t>
                                    </w:r>
                                  </w:hyperlink>
                                  <w:r w:rsidRPr="00D75CC5">
                                    <w:rPr>
                                      <w:rFonts w:ascii="Arial" w:hAnsi="Arial"/>
                                      <w:szCs w:val="16"/>
                                    </w:rPr>
                                    <w:t xml:space="preserve">, via the National Relay Service on 133 677 </w:t>
                                  </w:r>
                                  <w:hyperlink r:id="rId23" w:history="1">
                                    <w:r w:rsidRPr="00D75CC5">
                                      <w:rPr>
                                        <w:rStyle w:val="Hyperlink"/>
                                        <w:rFonts w:ascii="Arial" w:hAnsi="Arial"/>
                                        <w:szCs w:val="16"/>
                                      </w:rPr>
                                      <w:t>www.relayservice.com.au</w:t>
                                    </w:r>
                                  </w:hyperlink>
                                  <w:r w:rsidRPr="00D75CC5">
                                    <w:rPr>
                                      <w:rFonts w:ascii="Arial" w:hAnsi="Arial"/>
                                      <w:szCs w:val="16"/>
                                    </w:rPr>
                                    <w:t>. This document is also available by emailing alpine.greatergippsland@delwp.vic.gov.au.</w:t>
                                  </w:r>
                                </w:p>
                              </w:tc>
                            </w:tr>
                          </w:tbl>
                          <w:p w:rsidR="00F3096B" w:rsidRPr="00D75CC5" w:rsidRDefault="00F3096B" w:rsidP="00CE4F5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325.75pt;width:533.7pt;height:1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KtQIAALo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" filled="f" stroked="f">
                <v:textbox>
                  <w:txbxContent>
                    <w:tbl>
                      <w:tblPr>
                        <w:tblW w:w="10456" w:type="dxa"/>
                        <w:tblLook w:val="01E0" w:firstRow="1" w:lastRow="1" w:firstColumn="1" w:lastColumn="1" w:noHBand="0" w:noVBand="0"/>
                      </w:tblPr>
                      <w:tblGrid>
                        <w:gridCol w:w="5228"/>
                        <w:gridCol w:w="5228"/>
                      </w:tblGrid>
                      <w:tr w:rsidR="00F3096B" w:rsidRPr="00D75CC5" w:rsidTr="00E55617">
                        <w:trPr>
                          <w:trHeight w:val="2554"/>
                        </w:trPr>
                        <w:tc>
                          <w:tcPr>
                            <w:tcW w:w="5228" w:type="dxa"/>
                            <w:hideMark/>
                          </w:tcPr>
                          <w:p w:rsidR="00F3096B" w:rsidRPr="00D75CC5" w:rsidRDefault="00F3096B" w:rsidP="00D921C7">
                            <w:pPr>
                              <w:pStyle w:val="ImprintText"/>
                              <w:rPr>
                                <w:rFonts w:ascii="Arial" w:hAnsi="Arial"/>
                              </w:rPr>
                            </w:pPr>
                            <w:r w:rsidRPr="00D75CC5">
                              <w:rPr>
                                <w:rFonts w:ascii="Arial" w:hAnsi="Arial"/>
                              </w:rPr>
                              <w:t xml:space="preserve">© The State of Victoria Department of Environment, Land, Water and </w:t>
                            </w:r>
                            <w:r w:rsidRPr="00D75CC5">
                              <w:rPr>
                                <w:rFonts w:ascii="Arial" w:hAnsi="Arial"/>
                              </w:rPr>
                              <w:br/>
                              <w:t>Planning 2015</w:t>
                            </w:r>
                          </w:p>
                          <w:p w:rsidR="00F3096B" w:rsidRPr="00D75CC5" w:rsidRDefault="00F3096B" w:rsidP="00D921C7">
                            <w:pPr>
                              <w:pStyle w:val="ImprintText"/>
                              <w:rPr>
                                <w:rFonts w:ascii="Arial" w:hAnsi="Arial"/>
                              </w:rPr>
                            </w:pPr>
                            <w:r w:rsidRPr="00D75CC5">
                              <w:rPr>
                                <w:rFonts w:ascii="Arial" w:hAnsi="Arial"/>
                                <w:noProof/>
                              </w:rPr>
                              <w:drawing>
                                <wp:inline distT="0" distB="0" distL="0" distR="0" wp14:anchorId="73938768" wp14:editId="7DBE9178">
                                  <wp:extent cx="762000" cy="266700"/>
                                  <wp:effectExtent l="0" t="0" r="0"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inline>
                              </w:drawing>
                            </w:r>
                            <w:r w:rsidRPr="00D75CC5">
                              <w:rPr>
                                <w:rFonts w:ascii="Arial" w:hAnsi="Arial"/>
                              </w:rPr>
                              <w:t xml:space="preserve">This work is licensed under a </w:t>
                            </w:r>
                            <w:hyperlink r:id="rId24" w:history="1">
                              <w:r w:rsidRPr="00D75CC5">
                                <w:rPr>
                                  <w:rStyle w:val="Hyperlink"/>
                                  <w:rFonts w:ascii="Arial" w:hAnsi="Arial"/>
                                </w:rPr>
                                <w:t>Creative Commons Attribution 4.0 International licence</w:t>
                              </w:r>
                            </w:hyperlink>
                            <w:r w:rsidRPr="00D75CC5">
                              <w:rPr>
                                <w:rFonts w:ascii="Arial" w:hAnsi="Arial"/>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sidRPr="00D75CC5">
                                <w:rPr>
                                  <w:rStyle w:val="Hyperlink"/>
                                  <w:rFonts w:ascii="Arial" w:hAnsi="Arial"/>
                                </w:rPr>
                                <w:t>http://creativecommons.org/licenses/by/4.0/</w:t>
                              </w:r>
                            </w:hyperlink>
                          </w:p>
                          <w:p w:rsidR="00F3096B" w:rsidRPr="00D75CC5" w:rsidRDefault="00F3096B" w:rsidP="008A6888">
                            <w:pPr>
                              <w:pStyle w:val="ImprintText"/>
                              <w:spacing w:after="0"/>
                              <w:rPr>
                                <w:rFonts w:ascii="Arial" w:hAnsi="Arial"/>
                                <w:b/>
                                <w:bCs/>
                              </w:rPr>
                            </w:pPr>
                            <w:r w:rsidRPr="00034034">
                              <w:rPr>
                                <w:rFonts w:asciiTheme="minorHAnsi" w:hAnsiTheme="minorHAnsi"/>
                              </w:rPr>
                              <w:t xml:space="preserve">ISBN </w:t>
                            </w:r>
                          </w:p>
                          <w:p w:rsidR="00F3096B" w:rsidRPr="00D75CC5" w:rsidRDefault="00F3096B" w:rsidP="00E10CD4">
                            <w:pPr>
                              <w:pStyle w:val="ImprintText"/>
                              <w:spacing w:after="0"/>
                              <w:rPr>
                                <w:rFonts w:ascii="Arial" w:hAnsi="Arial"/>
                                <w:b/>
                                <w:bCs/>
                              </w:rPr>
                            </w:pPr>
                          </w:p>
                        </w:tc>
                        <w:tc>
                          <w:tcPr>
                            <w:tcW w:w="5228" w:type="dxa"/>
                            <w:hideMark/>
                          </w:tcPr>
                          <w:p w:rsidR="00F3096B" w:rsidRPr="00D75CC5" w:rsidRDefault="00F3096B" w:rsidP="00D921C7">
                            <w:pPr>
                              <w:pStyle w:val="ImprintText"/>
                              <w:rPr>
                                <w:rFonts w:ascii="Arial" w:hAnsi="Arial"/>
                              </w:rPr>
                            </w:pPr>
                            <w:r w:rsidRPr="00D75CC5">
                              <w:rPr>
                                <w:rFonts w:ascii="Arial" w:hAnsi="Arial"/>
                                <w:b/>
                                <w:bCs/>
                              </w:rPr>
                              <w:t>Disclaimer</w:t>
                            </w:r>
                            <w:r w:rsidRPr="00D75CC5">
                              <w:rPr>
                                <w:rFonts w:ascii="Arial" w:hAnsi="Arial"/>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3096B" w:rsidRPr="00D75CC5" w:rsidRDefault="00F3096B" w:rsidP="00D921C7">
                            <w:pPr>
                              <w:pStyle w:val="ImprintText"/>
                              <w:spacing w:after="0"/>
                              <w:rPr>
                                <w:rFonts w:ascii="Arial" w:hAnsi="Arial"/>
                                <w:b/>
                                <w:bCs/>
                                <w:szCs w:val="16"/>
                              </w:rPr>
                            </w:pPr>
                            <w:r w:rsidRPr="00D75CC5">
                              <w:rPr>
                                <w:rFonts w:ascii="Arial" w:hAnsi="Arial"/>
                                <w:b/>
                                <w:bCs/>
                                <w:szCs w:val="16"/>
                              </w:rPr>
                              <w:t>Accessibility</w:t>
                            </w:r>
                          </w:p>
                          <w:p w:rsidR="00F3096B" w:rsidRPr="00D75CC5" w:rsidRDefault="00F3096B" w:rsidP="00D921C7">
                            <w:pPr>
                              <w:pStyle w:val="ImprintText"/>
                              <w:spacing w:after="0"/>
                              <w:rPr>
                                <w:rFonts w:ascii="Arial" w:hAnsi="Arial"/>
                                <w:sz w:val="28"/>
                                <w:szCs w:val="28"/>
                              </w:rPr>
                            </w:pPr>
                            <w:r w:rsidRPr="00D75CC5">
                              <w:rPr>
                                <w:rFonts w:ascii="Arial" w:hAnsi="Arial"/>
                                <w:szCs w:val="16"/>
                              </w:rPr>
                              <w:t xml:space="preserve">If you would like to receive this publication in an alternative format, please telephone DELWP Customer Service Centre 136 186, email </w:t>
                            </w:r>
                            <w:hyperlink r:id="rId26" w:history="1">
                              <w:r w:rsidRPr="00D75CC5">
                                <w:rPr>
                                  <w:rStyle w:val="Hyperlink"/>
                                  <w:rFonts w:ascii="Arial" w:hAnsi="Arial"/>
                                  <w:szCs w:val="16"/>
                                </w:rPr>
                                <w:t>customer.service@delwp.vic.gov.au</w:t>
                              </w:r>
                            </w:hyperlink>
                            <w:r w:rsidRPr="00D75CC5">
                              <w:rPr>
                                <w:rFonts w:ascii="Arial" w:hAnsi="Arial"/>
                                <w:szCs w:val="16"/>
                              </w:rPr>
                              <w:t xml:space="preserve">, via the National Relay Service on 133 677 </w:t>
                            </w:r>
                            <w:hyperlink r:id="rId27" w:history="1">
                              <w:r w:rsidRPr="00D75CC5">
                                <w:rPr>
                                  <w:rStyle w:val="Hyperlink"/>
                                  <w:rFonts w:ascii="Arial" w:hAnsi="Arial"/>
                                  <w:szCs w:val="16"/>
                                </w:rPr>
                                <w:t>www.relayservice.com.au</w:t>
                              </w:r>
                            </w:hyperlink>
                            <w:r w:rsidRPr="00D75CC5">
                              <w:rPr>
                                <w:rFonts w:ascii="Arial" w:hAnsi="Arial"/>
                                <w:szCs w:val="16"/>
                              </w:rPr>
                              <w:t>. This document is also available by emailing alpine.greatergippsland@delwp.vic.gov.au.</w:t>
                            </w:r>
                          </w:p>
                        </w:tc>
                      </w:tr>
                    </w:tbl>
                    <w:p w:rsidR="00F3096B" w:rsidRPr="00D75CC5" w:rsidRDefault="00F3096B" w:rsidP="00CE4F57">
                      <w:pPr>
                        <w:rPr>
                          <w:rFonts w:ascii="Arial" w:hAnsi="Arial" w:cs="Arial"/>
                        </w:rPr>
                      </w:pPr>
                    </w:p>
                  </w:txbxContent>
                </v:textbox>
              </v:shape>
            </w:pict>
          </mc:Fallback>
        </mc:AlternateContent>
      </w:r>
      <w:r w:rsidR="00CE4F57" w:rsidRPr="00CD274F">
        <w:rPr>
          <w:rFonts w:cs="Arial"/>
          <w:sz w:val="20"/>
        </w:rPr>
        <w:t>For further information about managing bushfire risk in th</w:t>
      </w:r>
      <w:r w:rsidR="00074E0E" w:rsidRPr="00CD274F">
        <w:rPr>
          <w:rFonts w:cs="Arial"/>
          <w:sz w:val="20"/>
        </w:rPr>
        <w:t>e Alpine and Greater Gippsland b</w:t>
      </w:r>
      <w:r w:rsidR="00CE4F57" w:rsidRPr="00CD274F">
        <w:rPr>
          <w:rFonts w:cs="Arial"/>
          <w:sz w:val="20"/>
        </w:rPr>
        <w:t xml:space="preserve">ushfire </w:t>
      </w:r>
      <w:r w:rsidR="00074E0E" w:rsidRPr="00CD274F">
        <w:rPr>
          <w:rFonts w:cs="Arial"/>
          <w:sz w:val="20"/>
        </w:rPr>
        <w:t>r</w:t>
      </w:r>
      <w:r w:rsidR="00CE4F57" w:rsidRPr="00CD274F">
        <w:rPr>
          <w:rFonts w:cs="Arial"/>
          <w:sz w:val="20"/>
        </w:rPr>
        <w:t xml:space="preserve">isk </w:t>
      </w:r>
      <w:r w:rsidR="00074E0E" w:rsidRPr="00CD274F">
        <w:rPr>
          <w:rFonts w:cs="Arial"/>
          <w:sz w:val="20"/>
        </w:rPr>
        <w:t>l</w:t>
      </w:r>
      <w:r w:rsidR="00CE4F57" w:rsidRPr="00CD274F">
        <w:rPr>
          <w:rFonts w:cs="Arial"/>
          <w:sz w:val="20"/>
        </w:rPr>
        <w:t xml:space="preserve">andscape email </w:t>
      </w:r>
      <w:hyperlink r:id="rId28" w:history="1">
        <w:r w:rsidR="00CE4F57" w:rsidRPr="00CD274F">
          <w:rPr>
            <w:rStyle w:val="Hyperlink"/>
            <w:rFonts w:cs="Arial"/>
            <w:i/>
            <w:sz w:val="20"/>
          </w:rPr>
          <w:t>alpine.greatergippsland@delwp.vic.gov.au</w:t>
        </w:r>
      </w:hyperlink>
      <w:r w:rsidR="00CE4F57" w:rsidRPr="00CD274F">
        <w:rPr>
          <w:rFonts w:cs="Arial"/>
          <w:sz w:val="20"/>
        </w:rPr>
        <w:t>, or contact the Strategic Bushfire Management Program Manager on (03) 51520600.</w:t>
      </w:r>
    </w:p>
    <w:tbl>
      <w:tblPr>
        <w:tblW w:w="10382" w:type="dxa"/>
        <w:tblLook w:val="01E0" w:firstRow="1" w:lastRow="1" w:firstColumn="1" w:lastColumn="1" w:noHBand="0" w:noVBand="0"/>
      </w:tblPr>
      <w:tblGrid>
        <w:gridCol w:w="5191"/>
        <w:gridCol w:w="5191"/>
      </w:tblGrid>
      <w:tr w:rsidR="009E08E3" w:rsidRPr="00D75CC5" w:rsidTr="00F3096B">
        <w:trPr>
          <w:trHeight w:val="2697"/>
        </w:trPr>
        <w:tc>
          <w:tcPr>
            <w:tcW w:w="5191" w:type="dxa"/>
            <w:hideMark/>
          </w:tcPr>
          <w:p w:rsidR="009E08E3" w:rsidRPr="00D75CC5" w:rsidRDefault="009E08E3" w:rsidP="009E08E3">
            <w:pPr>
              <w:pStyle w:val="ImprintText"/>
              <w:rPr>
                <w:rFonts w:ascii="Arial" w:hAnsi="Arial"/>
              </w:rPr>
            </w:pPr>
            <w:r w:rsidRPr="00D75CC5">
              <w:rPr>
                <w:rFonts w:ascii="Arial" w:hAnsi="Arial"/>
              </w:rPr>
              <w:t xml:space="preserve">© The State of Victoria Department of Environment, Land, Water and </w:t>
            </w:r>
            <w:r w:rsidRPr="00D75CC5">
              <w:rPr>
                <w:rFonts w:ascii="Arial" w:hAnsi="Arial"/>
              </w:rPr>
              <w:br/>
              <w:t>Planning 2015</w:t>
            </w:r>
          </w:p>
          <w:p w:rsidR="009E08E3" w:rsidRPr="00D75CC5" w:rsidRDefault="009E08E3" w:rsidP="009E08E3">
            <w:pPr>
              <w:pStyle w:val="ImprintText"/>
              <w:rPr>
                <w:rFonts w:ascii="Arial" w:hAnsi="Arial"/>
              </w:rPr>
            </w:pPr>
            <w:r w:rsidRPr="00D75CC5">
              <w:rPr>
                <w:rFonts w:ascii="Arial" w:hAnsi="Arial"/>
                <w:noProof/>
              </w:rPr>
              <w:drawing>
                <wp:inline distT="0" distB="0" distL="0" distR="0" wp14:anchorId="1317C4C4" wp14:editId="11E44DCD">
                  <wp:extent cx="762000" cy="266700"/>
                  <wp:effectExtent l="0" t="0" r="0" b="0"/>
                  <wp:docPr id="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inline>
              </w:drawing>
            </w:r>
            <w:r w:rsidRPr="00D75CC5">
              <w:rPr>
                <w:rFonts w:ascii="Arial" w:hAnsi="Arial"/>
              </w:rPr>
              <w:t xml:space="preserve">This work is licensed under a </w:t>
            </w:r>
            <w:hyperlink r:id="rId29" w:history="1">
              <w:r w:rsidRPr="00D75CC5">
                <w:rPr>
                  <w:rStyle w:val="Hyperlink"/>
                  <w:rFonts w:ascii="Arial" w:hAnsi="Arial"/>
                </w:rPr>
                <w:t>Creative Commons Attribution 4.0 International licence</w:t>
              </w:r>
            </w:hyperlink>
            <w:r w:rsidRPr="00D75CC5">
              <w:rPr>
                <w:rFonts w:ascii="Arial" w:hAnsi="Arial"/>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0" w:history="1">
              <w:r w:rsidRPr="00D75CC5">
                <w:rPr>
                  <w:rStyle w:val="Hyperlink"/>
                  <w:rFonts w:ascii="Arial" w:hAnsi="Arial"/>
                </w:rPr>
                <w:t>http://creativecommons.org/licenses/by/4.0/</w:t>
              </w:r>
            </w:hyperlink>
          </w:p>
          <w:p w:rsidR="00F3096B" w:rsidRPr="00D75CC5" w:rsidRDefault="009E08E3" w:rsidP="00F3096B">
            <w:pPr>
              <w:pStyle w:val="ImprintText"/>
              <w:spacing w:after="0"/>
              <w:rPr>
                <w:rFonts w:ascii="Arial" w:hAnsi="Arial"/>
                <w:b/>
                <w:bCs/>
              </w:rPr>
            </w:pPr>
            <w:r w:rsidRPr="00034034">
              <w:rPr>
                <w:rFonts w:asciiTheme="minorHAnsi" w:hAnsiTheme="minorHAnsi"/>
              </w:rPr>
              <w:t xml:space="preserve">ISBN </w:t>
            </w:r>
            <w:r w:rsidR="00581452">
              <w:rPr>
                <w:rFonts w:asciiTheme="minorHAnsi" w:hAnsiTheme="minorHAnsi"/>
              </w:rPr>
              <w:t>978-1-74146-9</w:t>
            </w:r>
            <w:r w:rsidR="002F2F03">
              <w:rPr>
                <w:rFonts w:asciiTheme="minorHAnsi" w:hAnsiTheme="minorHAnsi"/>
              </w:rPr>
              <w:t>09</w:t>
            </w:r>
            <w:r w:rsidR="00581452">
              <w:rPr>
                <w:rFonts w:asciiTheme="minorHAnsi" w:hAnsiTheme="minorHAnsi"/>
              </w:rPr>
              <w:t>-</w:t>
            </w:r>
            <w:r w:rsidR="00615C55">
              <w:rPr>
                <w:rFonts w:asciiTheme="minorHAnsi" w:hAnsiTheme="minorHAnsi"/>
              </w:rPr>
              <w:t>7</w:t>
            </w:r>
            <w:r w:rsidR="00581452">
              <w:rPr>
                <w:rFonts w:asciiTheme="minorHAnsi" w:hAnsiTheme="minorHAnsi"/>
              </w:rPr>
              <w:t xml:space="preserve"> (Print)</w:t>
            </w:r>
          </w:p>
          <w:p w:rsidR="009E08E3" w:rsidRPr="00D75CC5" w:rsidRDefault="00581452" w:rsidP="002F2F03">
            <w:pPr>
              <w:pStyle w:val="ImprintText"/>
              <w:spacing w:after="0"/>
              <w:rPr>
                <w:rFonts w:ascii="Arial" w:hAnsi="Arial"/>
                <w:b/>
                <w:bCs/>
              </w:rPr>
            </w:pPr>
            <w:r w:rsidRPr="00034034">
              <w:rPr>
                <w:rFonts w:asciiTheme="minorHAnsi" w:hAnsiTheme="minorHAnsi"/>
              </w:rPr>
              <w:t xml:space="preserve">ISBN </w:t>
            </w:r>
            <w:r>
              <w:rPr>
                <w:rFonts w:asciiTheme="minorHAnsi" w:hAnsiTheme="minorHAnsi"/>
              </w:rPr>
              <w:t>978-1-74146-9</w:t>
            </w:r>
            <w:r w:rsidR="002F2F03">
              <w:rPr>
                <w:rFonts w:asciiTheme="minorHAnsi" w:hAnsiTheme="minorHAnsi"/>
              </w:rPr>
              <w:t>10</w:t>
            </w:r>
            <w:r>
              <w:rPr>
                <w:rFonts w:asciiTheme="minorHAnsi" w:hAnsiTheme="minorHAnsi"/>
              </w:rPr>
              <w:t>-</w:t>
            </w:r>
            <w:r w:rsidR="00615C55">
              <w:rPr>
                <w:rFonts w:asciiTheme="minorHAnsi" w:hAnsiTheme="minorHAnsi"/>
              </w:rPr>
              <w:t>3</w:t>
            </w:r>
            <w:r>
              <w:rPr>
                <w:rFonts w:asciiTheme="minorHAnsi" w:hAnsiTheme="minorHAnsi"/>
              </w:rPr>
              <w:t xml:space="preserve"> (Pdf)</w:t>
            </w:r>
          </w:p>
        </w:tc>
        <w:tc>
          <w:tcPr>
            <w:tcW w:w="5191" w:type="dxa"/>
            <w:hideMark/>
          </w:tcPr>
          <w:p w:rsidR="009E08E3" w:rsidRPr="00D75CC5" w:rsidRDefault="009E08E3" w:rsidP="009E08E3">
            <w:pPr>
              <w:pStyle w:val="ImprintText"/>
              <w:rPr>
                <w:rFonts w:ascii="Arial" w:hAnsi="Arial"/>
              </w:rPr>
            </w:pPr>
            <w:r w:rsidRPr="00D75CC5">
              <w:rPr>
                <w:rFonts w:ascii="Arial" w:hAnsi="Arial"/>
                <w:b/>
                <w:bCs/>
              </w:rPr>
              <w:t>Disclaimer</w:t>
            </w:r>
            <w:r w:rsidRPr="00D75CC5">
              <w:rPr>
                <w:rFonts w:ascii="Arial" w:hAnsi="Arial"/>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9E08E3" w:rsidRPr="00D75CC5" w:rsidRDefault="009E08E3" w:rsidP="009E08E3">
            <w:pPr>
              <w:pStyle w:val="ImprintText"/>
              <w:spacing w:after="0"/>
              <w:rPr>
                <w:rFonts w:ascii="Arial" w:hAnsi="Arial"/>
                <w:b/>
                <w:bCs/>
                <w:szCs w:val="16"/>
              </w:rPr>
            </w:pPr>
            <w:r w:rsidRPr="00D75CC5">
              <w:rPr>
                <w:rFonts w:ascii="Arial" w:hAnsi="Arial"/>
                <w:b/>
                <w:bCs/>
                <w:szCs w:val="16"/>
              </w:rPr>
              <w:t>Accessibility</w:t>
            </w:r>
          </w:p>
          <w:p w:rsidR="009E08E3" w:rsidRPr="00D75CC5" w:rsidRDefault="009E08E3" w:rsidP="009E08E3">
            <w:pPr>
              <w:pStyle w:val="ImprintText"/>
              <w:spacing w:after="0"/>
              <w:rPr>
                <w:rFonts w:ascii="Arial" w:hAnsi="Arial"/>
                <w:sz w:val="28"/>
                <w:szCs w:val="28"/>
              </w:rPr>
            </w:pPr>
            <w:r w:rsidRPr="00D75CC5">
              <w:rPr>
                <w:rFonts w:ascii="Arial" w:hAnsi="Arial"/>
                <w:szCs w:val="16"/>
              </w:rPr>
              <w:t xml:space="preserve">If you would like to receive this publication in an alternative format, please telephone DELWP Customer Service Centre 136 186, email </w:t>
            </w:r>
            <w:hyperlink r:id="rId31" w:history="1">
              <w:r w:rsidRPr="00D75CC5">
                <w:rPr>
                  <w:rStyle w:val="Hyperlink"/>
                  <w:rFonts w:ascii="Arial" w:hAnsi="Arial"/>
                  <w:szCs w:val="16"/>
                </w:rPr>
                <w:t>customer.service@delwp.vic.gov.au</w:t>
              </w:r>
            </w:hyperlink>
            <w:r w:rsidRPr="00D75CC5">
              <w:rPr>
                <w:rFonts w:ascii="Arial" w:hAnsi="Arial"/>
                <w:szCs w:val="16"/>
              </w:rPr>
              <w:t xml:space="preserve">, via the National Relay Service on 133 677 </w:t>
            </w:r>
            <w:hyperlink r:id="rId32" w:history="1">
              <w:r w:rsidRPr="00D75CC5">
                <w:rPr>
                  <w:rStyle w:val="Hyperlink"/>
                  <w:rFonts w:ascii="Arial" w:hAnsi="Arial"/>
                  <w:szCs w:val="16"/>
                </w:rPr>
                <w:t>www.relayservice.com.au</w:t>
              </w:r>
            </w:hyperlink>
            <w:r w:rsidRPr="00D75CC5">
              <w:rPr>
                <w:rFonts w:ascii="Arial" w:hAnsi="Arial"/>
                <w:szCs w:val="16"/>
              </w:rPr>
              <w:t>. This document is also available by emailing alpine.greatergippsland@delwp.vic.gov.au.</w:t>
            </w:r>
          </w:p>
        </w:tc>
      </w:tr>
    </w:tbl>
    <w:p w:rsidR="00CE4F57" w:rsidRDefault="00CE4F57" w:rsidP="00581452">
      <w:pPr>
        <w:rPr>
          <w:rFonts w:cs="Arial"/>
          <w:sz w:val="20"/>
        </w:rPr>
      </w:pPr>
    </w:p>
    <w:sectPr w:rsidR="00CE4F57" w:rsidSect="00655526">
      <w:type w:val="continuous"/>
      <w:pgSz w:w="11906" w:h="16838"/>
      <w:pgMar w:top="1254" w:right="991" w:bottom="993"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6B" w:rsidRPr="00FD25EC" w:rsidRDefault="00F3096B" w:rsidP="00CE4F57">
      <w:pPr>
        <w:spacing w:after="0" w:line="240" w:lineRule="auto"/>
        <w:rPr>
          <w:rFonts w:ascii="Calibri" w:hAnsi="Calibri" w:cs="Times New Roman"/>
        </w:rPr>
      </w:pPr>
      <w:r>
        <w:separator/>
      </w:r>
    </w:p>
  </w:endnote>
  <w:endnote w:type="continuationSeparator" w:id="0">
    <w:p w:rsidR="00F3096B" w:rsidRPr="00FD25EC" w:rsidRDefault="00F3096B" w:rsidP="00CE4F57">
      <w:pPr>
        <w:spacing w:after="0" w:line="240" w:lineRule="auto"/>
        <w:rPr>
          <w:rFonts w:ascii="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52" w:rsidRDefault="00581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B" w:rsidRPr="00CE4F57" w:rsidRDefault="00F3096B" w:rsidP="00CE4F57">
    <w:pPr>
      <w:pStyle w:val="Footer"/>
      <w:rPr>
        <w:sz w:val="20"/>
      </w:rPr>
    </w:pPr>
    <w:r w:rsidRPr="00CE4F57">
      <w:rPr>
        <w:noProof/>
        <w:sz w:val="20"/>
      </w:rPr>
      <w:drawing>
        <wp:anchor distT="0" distB="0" distL="114300" distR="114300" simplePos="0" relativeHeight="251659264" behindDoc="0" locked="0" layoutInCell="1" allowOverlap="1">
          <wp:simplePos x="0" y="0"/>
          <wp:positionH relativeFrom="margin">
            <wp:posOffset>5156258</wp:posOffset>
          </wp:positionH>
          <wp:positionV relativeFrom="paragraph">
            <wp:posOffset>-193617</wp:posOffset>
          </wp:positionV>
          <wp:extent cx="1483648" cy="432262"/>
          <wp:effectExtent l="19050" t="0" r="2252" b="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3648" cy="432262"/>
                  </a:xfrm>
                  <a:prstGeom prst="rect">
                    <a:avLst/>
                  </a:prstGeom>
                  <a:noFill/>
                  <a:ln>
                    <a:noFill/>
                  </a:ln>
                </pic:spPr>
              </pic:pic>
            </a:graphicData>
          </a:graphic>
        </wp:anchor>
      </w:drawing>
    </w:r>
    <w:r>
      <w:rPr>
        <w:sz w:val="20"/>
      </w:rPr>
      <w:t>Page</w:t>
    </w:r>
    <w:r w:rsidRPr="00CE4F57">
      <w:rPr>
        <w:sz w:val="20"/>
      </w:rPr>
      <w:fldChar w:fldCharType="begin"/>
    </w:r>
    <w:r w:rsidRPr="00CE4F57">
      <w:rPr>
        <w:sz w:val="20"/>
      </w:rPr>
      <w:instrText xml:space="preserve"> PAGE   \* MERGEFORMAT </w:instrText>
    </w:r>
    <w:r w:rsidRPr="00CE4F57">
      <w:rPr>
        <w:sz w:val="20"/>
      </w:rPr>
      <w:fldChar w:fldCharType="separate"/>
    </w:r>
    <w:r w:rsidR="00CB4575">
      <w:rPr>
        <w:noProof/>
        <w:sz w:val="20"/>
      </w:rPr>
      <w:t>1</w:t>
    </w:r>
    <w:r w:rsidRPr="00CE4F57">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52" w:rsidRDefault="00581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6B" w:rsidRPr="00FD25EC" w:rsidRDefault="00F3096B" w:rsidP="00CE4F57">
      <w:pPr>
        <w:spacing w:after="0" w:line="240" w:lineRule="auto"/>
        <w:rPr>
          <w:rFonts w:ascii="Calibri" w:hAnsi="Calibri" w:cs="Times New Roman"/>
        </w:rPr>
      </w:pPr>
      <w:r>
        <w:separator/>
      </w:r>
    </w:p>
  </w:footnote>
  <w:footnote w:type="continuationSeparator" w:id="0">
    <w:p w:rsidR="00F3096B" w:rsidRPr="00FD25EC" w:rsidRDefault="00F3096B" w:rsidP="00CE4F57">
      <w:pPr>
        <w:spacing w:after="0" w:line="240" w:lineRule="auto"/>
        <w:rPr>
          <w:rFonts w:ascii="Calibri" w:hAnsi="Calibri"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52" w:rsidRDefault="00581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6B" w:rsidRDefault="00F3096B" w:rsidP="00995D6E">
    <w:pPr>
      <w:pStyle w:val="CertHBWhite"/>
      <w:spacing w:line="360" w:lineRule="atLeast"/>
    </w:pPr>
    <w:r>
      <w:rPr>
        <w:noProof/>
      </w:rPr>
      <w:drawing>
        <wp:anchor distT="0" distB="0" distL="114300" distR="114300" simplePos="0" relativeHeight="251663360" behindDoc="1" locked="0" layoutInCell="1" allowOverlap="1" wp14:anchorId="2D7AF8DA" wp14:editId="61A98249">
          <wp:simplePos x="0" y="0"/>
          <wp:positionH relativeFrom="page">
            <wp:posOffset>-1244485</wp:posOffset>
          </wp:positionH>
          <wp:positionV relativeFrom="paragraph">
            <wp:posOffset>-278823</wp:posOffset>
          </wp:positionV>
          <wp:extent cx="11036878" cy="1629295"/>
          <wp:effectExtent l="19050" t="0" r="0" b="0"/>
          <wp:wrapNone/>
          <wp:docPr id="34" name="Picture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878" cy="1629295"/>
                  </a:xfrm>
                  <a:prstGeom prst="rect">
                    <a:avLst/>
                  </a:prstGeom>
                  <a:noFill/>
                  <a:ln>
                    <a:noFill/>
                  </a:ln>
                </pic:spPr>
              </pic:pic>
            </a:graphicData>
          </a:graphic>
        </wp:anchor>
      </w:drawing>
    </w:r>
    <w:r w:rsidR="00CB4575">
      <w:t>3</w:t>
    </w:r>
    <w:r>
      <w:t>. Bushfire simulation</w:t>
    </w:r>
  </w:p>
  <w:p w:rsidR="00F3096B" w:rsidRDefault="00F3096B" w:rsidP="00995D6E">
    <w:pPr>
      <w:pStyle w:val="CertHBWhite"/>
      <w:spacing w:after="120" w:line="360" w:lineRule="atLeast"/>
      <w:rPr>
        <w:sz w:val="48"/>
        <w:szCs w:val="48"/>
      </w:rPr>
    </w:pPr>
    <w:r>
      <w:rPr>
        <w:sz w:val="48"/>
        <w:szCs w:val="48"/>
      </w:rPr>
      <w:t>Alpine and Greater Gippsland</w:t>
    </w:r>
  </w:p>
  <w:p w:rsidR="00F3096B" w:rsidRDefault="00F3096B" w:rsidP="00995D6E">
    <w:pPr>
      <w:pStyle w:val="CertHBWhite"/>
      <w:spacing w:after="120" w:line="360" w:lineRule="atLeast"/>
      <w:rPr>
        <w:sz w:val="48"/>
        <w:szCs w:val="48"/>
      </w:rPr>
    </w:pPr>
    <w:r>
      <w:rPr>
        <w:noProof/>
        <w:sz w:val="48"/>
        <w:szCs w:val="48"/>
      </w:rPr>
      <w:drawing>
        <wp:anchor distT="0" distB="0" distL="114300" distR="114300" simplePos="0" relativeHeight="251665408" behindDoc="0" locked="0" layoutInCell="1" allowOverlap="1" wp14:anchorId="6A3BA5B1" wp14:editId="0D50629A">
          <wp:simplePos x="0" y="0"/>
          <wp:positionH relativeFrom="column">
            <wp:posOffset>3048635</wp:posOffset>
          </wp:positionH>
          <wp:positionV relativeFrom="paragraph">
            <wp:posOffset>440055</wp:posOffset>
          </wp:positionV>
          <wp:extent cx="3439160" cy="2750820"/>
          <wp:effectExtent l="19050" t="0" r="8890" b="0"/>
          <wp:wrapSquare wrapText="bothSides"/>
          <wp:docPr id="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ENIX RapidFire model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39160" cy="2750820"/>
                  </a:xfrm>
                  <a:prstGeom prst="rect">
                    <a:avLst/>
                  </a:prstGeom>
                </pic:spPr>
              </pic:pic>
            </a:graphicData>
          </a:graphic>
        </wp:anchor>
      </w:drawing>
    </w:r>
    <w:r>
      <w:rPr>
        <w:sz w:val="48"/>
        <w:szCs w:val="48"/>
      </w:rPr>
      <w:t>Information for Communities</w:t>
    </w:r>
  </w:p>
  <w:p w:rsidR="00F3096B" w:rsidRPr="009E08E3" w:rsidRDefault="00F3096B" w:rsidP="009E08E3">
    <w:pPr>
      <w:pStyle w:val="A3HE"/>
      <w:spacing w:before="240"/>
      <w:ind w:right="6379"/>
    </w:pPr>
    <w:r w:rsidRPr="009E08E3">
      <w:t xml:space="preserve"> </w:t>
    </w:r>
    <w:r w:rsidRPr="002455DE">
      <w:t>Advanced technology can simulate bushfire at many scales: local, regional, state and national. These prediction models help guide fire managers</w:t>
    </w:r>
    <w:bookmarkStart w:id="0" w:name="_GoBack"/>
    <w:bookmarkEnd w:id="0"/>
    <w:r w:rsidRPr="002455DE">
      <w:t xml:space="preserve"> to plan where and how to concentrate efforts for reducing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F3096B" w:rsidTr="009E08E3">
      <w:trPr>
        <w:trHeight w:val="4424"/>
      </w:trPr>
      <w:tc>
        <w:tcPr>
          <w:tcW w:w="3831" w:type="dxa"/>
          <w:shd w:val="clear" w:color="auto" w:fill="auto"/>
        </w:tcPr>
        <w:p w:rsidR="00F3096B" w:rsidRDefault="00F3096B" w:rsidP="009E08E3">
          <w:pPr>
            <w:pStyle w:val="A3HE"/>
            <w:spacing w:before="240"/>
          </w:pPr>
          <w:r w:rsidRPr="008A6888">
            <w:rPr>
              <w:rFonts w:asciiTheme="minorHAnsi" w:hAnsiTheme="minorHAnsi"/>
            </w:rPr>
            <w:t xml:space="preserve">Advanced technology can simulate bushfire at many scales: local, regional, state and national. These prediction models help guide fire managers to plan where and how to concentrate efforts for reducing </w:t>
          </w:r>
          <w:proofErr w:type="spellStart"/>
          <w:r w:rsidRPr="008A6888">
            <w:rPr>
              <w:rFonts w:asciiTheme="minorHAnsi" w:hAnsiTheme="minorHAnsi"/>
            </w:rPr>
            <w:t>risk.dvanced</w:t>
          </w:r>
          <w:proofErr w:type="spellEnd"/>
          <w:r w:rsidRPr="008A6888">
            <w:rPr>
              <w:rFonts w:asciiTheme="minorHAnsi" w:hAnsiTheme="minorHAnsi"/>
            </w:rPr>
            <w:t xml:space="preserve"> technology can simulate bushfire at many scales: local, regional, state and national. These prediction models help guide fire managers to plan where and how to concentrate efforts for reducing risk.</w:t>
          </w:r>
        </w:p>
      </w:tc>
    </w:tr>
  </w:tbl>
  <w:p w:rsidR="00F3096B" w:rsidRPr="00A0047C" w:rsidRDefault="00F3096B" w:rsidP="009E08E3">
    <w:pPr>
      <w:pStyle w:val="CertHBWhite"/>
      <w:spacing w:after="120" w:line="360" w:lineRule="atLeast"/>
      <w:rPr>
        <w:sz w:val="48"/>
        <w:szCs w:val="4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52" w:rsidRDefault="005814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26" w:rsidRPr="00655526" w:rsidRDefault="00655526" w:rsidP="00655526">
    <w:pPr>
      <w:rPr>
        <w:rFonts w:cstheme="minorHAnsi"/>
        <w:color w:val="FFFFFF" w:themeColor="background1"/>
        <w:sz w:val="36"/>
        <w:szCs w:val="36"/>
      </w:rPr>
    </w:pPr>
    <w:r w:rsidRPr="00655526">
      <w:rPr>
        <w:noProof/>
        <w:color w:val="FFFFFF" w:themeColor="background1"/>
        <w:sz w:val="48"/>
        <w:szCs w:val="48"/>
      </w:rPr>
      <w:t>1.</w:t>
    </w:r>
    <w:r>
      <w:rPr>
        <w:noProof/>
        <w:color w:val="FFFFFF" w:themeColor="background1"/>
        <w:sz w:val="48"/>
        <w:szCs w:val="48"/>
      </w:rPr>
      <w:t xml:space="preserve"> </w:t>
    </w:r>
    <w:r w:rsidR="00F3096B">
      <w:rPr>
        <w:noProof/>
      </w:rPr>
      <w:drawing>
        <wp:anchor distT="0" distB="0" distL="114300" distR="114300" simplePos="0" relativeHeight="251661312" behindDoc="1" locked="0" layoutInCell="1" allowOverlap="1">
          <wp:simplePos x="0" y="0"/>
          <wp:positionH relativeFrom="page">
            <wp:posOffset>-155517</wp:posOffset>
          </wp:positionH>
          <wp:positionV relativeFrom="paragraph">
            <wp:posOffset>-138776</wp:posOffset>
          </wp:positionV>
          <wp:extent cx="7819852" cy="972589"/>
          <wp:effectExtent l="19050" t="0" r="0" b="0"/>
          <wp:wrapNone/>
          <wp:docPr id="32" name="Picture 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852" cy="972589"/>
                  </a:xfrm>
                  <a:prstGeom prst="rect">
                    <a:avLst/>
                  </a:prstGeom>
                  <a:noFill/>
                  <a:ln>
                    <a:noFill/>
                  </a:ln>
                </pic:spPr>
              </pic:pic>
            </a:graphicData>
          </a:graphic>
        </wp:anchor>
      </w:drawing>
    </w:r>
    <w:r w:rsidRPr="00655526">
      <w:rPr>
        <w:noProof/>
        <w:color w:val="FFFFFF" w:themeColor="background1"/>
        <w:sz w:val="48"/>
        <w:szCs w:val="48"/>
      </w:rPr>
      <w:t>Bushfire</w:t>
    </w:r>
    <w:r>
      <w:rPr>
        <w:noProof/>
        <w:color w:val="FFFFFF" w:themeColor="background1"/>
        <w:sz w:val="48"/>
        <w:szCs w:val="48"/>
      </w:rPr>
      <w:t xml:space="preserve"> simulation</w:t>
    </w:r>
  </w:p>
  <w:p w:rsidR="00F3096B" w:rsidRPr="00655526" w:rsidRDefault="00F3096B" w:rsidP="00655526">
    <w:pPr>
      <w:spacing w:after="0"/>
      <w:rPr>
        <w:rFonts w:cstheme="minorHAnsi"/>
        <w:color w:val="FFFFFF" w:themeColor="background1"/>
        <w:sz w:val="36"/>
        <w:szCs w:val="36"/>
      </w:rPr>
    </w:pPr>
    <w:r w:rsidRPr="00655526">
      <w:rPr>
        <w:rFonts w:cstheme="minorHAnsi"/>
        <w:color w:val="FFFFFF" w:themeColor="background1"/>
        <w:sz w:val="36"/>
        <w:szCs w:val="36"/>
      </w:rPr>
      <w:t>Alpine and Greater Gippsland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6F9"/>
    <w:multiLevelType w:val="hybridMultilevel"/>
    <w:tmpl w:val="E3F23E48"/>
    <w:lvl w:ilvl="0" w:tplc="BCC2E49E">
      <w:start w:val="1"/>
      <w:numFmt w:val="bullet"/>
      <w:pStyle w:val="Bullet"/>
      <w:lvlText w:val=""/>
      <w:lvlJc w:val="left"/>
      <w:pPr>
        <w:tabs>
          <w:tab w:val="num" w:pos="-351"/>
        </w:tabs>
        <w:ind w:left="-351" w:hanging="360"/>
      </w:pPr>
      <w:rPr>
        <w:rFonts w:ascii="Symbol" w:hAnsi="Symbol" w:hint="default"/>
      </w:rPr>
    </w:lvl>
    <w:lvl w:ilvl="1" w:tplc="04090003">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
    <w:nsid w:val="1513240D"/>
    <w:multiLevelType w:val="hybridMultilevel"/>
    <w:tmpl w:val="5F26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F047B7"/>
    <w:multiLevelType w:val="hybridMultilevel"/>
    <w:tmpl w:val="DDDE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0C0968"/>
    <w:multiLevelType w:val="hybridMultilevel"/>
    <w:tmpl w:val="16A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6656B8"/>
    <w:multiLevelType w:val="hybridMultilevel"/>
    <w:tmpl w:val="393C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00069E"/>
    <w:multiLevelType w:val="hybridMultilevel"/>
    <w:tmpl w:val="9500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CA02C2"/>
    <w:multiLevelType w:val="hybridMultilevel"/>
    <w:tmpl w:val="419C50F4"/>
    <w:lvl w:ilvl="0" w:tplc="6408E2A4">
      <w:start w:val="1"/>
      <w:numFmt w:val="decimal"/>
      <w:lvlText w:val="%1."/>
      <w:lvlJc w:val="left"/>
      <w:pPr>
        <w:ind w:left="720" w:hanging="360"/>
      </w:pPr>
      <w:rPr>
        <w:rFonts w:cstheme="minorBidi" w:hint="default"/>
        <w:sz w:val="4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BD7893"/>
    <w:multiLevelType w:val="hybridMultilevel"/>
    <w:tmpl w:val="0A8C1C40"/>
    <w:lvl w:ilvl="0" w:tplc="92F40A9A">
      <w:start w:val="1"/>
      <w:numFmt w:val="decimal"/>
      <w:lvlText w:val="%1."/>
      <w:lvlJc w:val="left"/>
      <w:pPr>
        <w:ind w:left="720" w:hanging="360"/>
      </w:pPr>
      <w:rPr>
        <w:rFonts w:cstheme="minorBidi" w:hint="default"/>
        <w:sz w:val="4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57"/>
    <w:rsid w:val="00074E0E"/>
    <w:rsid w:val="00095811"/>
    <w:rsid w:val="001A2C80"/>
    <w:rsid w:val="00256202"/>
    <w:rsid w:val="00260F56"/>
    <w:rsid w:val="002D3E46"/>
    <w:rsid w:val="002F2F03"/>
    <w:rsid w:val="0032171E"/>
    <w:rsid w:val="004A6162"/>
    <w:rsid w:val="00531A12"/>
    <w:rsid w:val="00581452"/>
    <w:rsid w:val="00615C55"/>
    <w:rsid w:val="00655526"/>
    <w:rsid w:val="00707A65"/>
    <w:rsid w:val="007E1B3A"/>
    <w:rsid w:val="00897A65"/>
    <w:rsid w:val="00897DF4"/>
    <w:rsid w:val="008A6888"/>
    <w:rsid w:val="00995D6E"/>
    <w:rsid w:val="009E08E3"/>
    <w:rsid w:val="00CB4575"/>
    <w:rsid w:val="00CD274F"/>
    <w:rsid w:val="00CE4F57"/>
    <w:rsid w:val="00D8126F"/>
    <w:rsid w:val="00D83765"/>
    <w:rsid w:val="00D921C7"/>
    <w:rsid w:val="00E10CD4"/>
    <w:rsid w:val="00E5136E"/>
    <w:rsid w:val="00E55617"/>
    <w:rsid w:val="00EC5FDD"/>
    <w:rsid w:val="00F17904"/>
    <w:rsid w:val="00F30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CE4F57"/>
    <w:pPr>
      <w:spacing w:after="113" w:line="240" w:lineRule="atLeast"/>
    </w:pPr>
    <w:rPr>
      <w:rFonts w:ascii="Arial" w:eastAsia="Times New Roman" w:hAnsi="Arial" w:cs="Arial"/>
      <w:sz w:val="20"/>
      <w:szCs w:val="24"/>
    </w:rPr>
  </w:style>
  <w:style w:type="paragraph" w:customStyle="1" w:styleId="Textboxgrey">
    <w:name w:val="Text box grey"/>
    <w:basedOn w:val="Normal"/>
    <w:link w:val="TextboxgreyChar"/>
    <w:qFormat/>
    <w:rsid w:val="00CE4F57"/>
    <w:pPr>
      <w:spacing w:before="120" w:after="0" w:line="240" w:lineRule="atLeast"/>
      <w:jc w:val="both"/>
    </w:pPr>
    <w:rPr>
      <w:rFonts w:ascii="Arial" w:eastAsia="Times New Roman" w:hAnsi="Arial" w:cs="Arial"/>
      <w:color w:val="0D0D0D" w:themeColor="text1" w:themeTint="F2"/>
      <w:szCs w:val="24"/>
    </w:rPr>
  </w:style>
  <w:style w:type="character" w:customStyle="1" w:styleId="TextboxgreyChar">
    <w:name w:val="Text box grey Char"/>
    <w:basedOn w:val="DefaultParagraphFont"/>
    <w:link w:val="Textboxgrey"/>
    <w:rsid w:val="00CE4F57"/>
    <w:rPr>
      <w:rFonts w:ascii="Arial" w:eastAsia="Times New Roman" w:hAnsi="Arial" w:cs="Arial"/>
      <w:color w:val="0D0D0D" w:themeColor="text1" w:themeTint="F2"/>
      <w:szCs w:val="24"/>
    </w:rPr>
  </w:style>
  <w:style w:type="paragraph" w:customStyle="1" w:styleId="A3HE">
    <w:name w:val="_A3HE"/>
    <w:link w:val="A3HEChar"/>
    <w:qFormat/>
    <w:rsid w:val="00CE4F57"/>
    <w:pPr>
      <w:spacing w:after="120" w:line="360" w:lineRule="atLeast"/>
    </w:pPr>
    <w:rPr>
      <w:rFonts w:eastAsia="Times New Roman" w:cstheme="minorHAnsi"/>
      <w:color w:val="31849B" w:themeColor="accent5" w:themeShade="BF"/>
      <w:sz w:val="36"/>
      <w:szCs w:val="24"/>
    </w:rPr>
  </w:style>
  <w:style w:type="character" w:customStyle="1" w:styleId="A3HEChar">
    <w:name w:val="_A3HE Char"/>
    <w:link w:val="A3HE"/>
    <w:rsid w:val="00CE4F57"/>
    <w:rPr>
      <w:rFonts w:eastAsia="Times New Roman" w:cstheme="minorHAnsi"/>
      <w:color w:val="31849B" w:themeColor="accent5" w:themeShade="BF"/>
      <w:sz w:val="36"/>
      <w:szCs w:val="24"/>
    </w:rPr>
  </w:style>
  <w:style w:type="paragraph" w:styleId="Caption">
    <w:name w:val="caption"/>
    <w:basedOn w:val="Normal"/>
    <w:next w:val="Normal"/>
    <w:unhideWhenUsed/>
    <w:qFormat/>
    <w:rsid w:val="00CE4F57"/>
    <w:pPr>
      <w:spacing w:line="240" w:lineRule="auto"/>
    </w:pPr>
    <w:rPr>
      <w:rFonts w:ascii="Calibri" w:eastAsia="Times New Roman" w:hAnsi="Calibri" w:cs="Times New Roman"/>
      <w:b/>
      <w:bCs/>
      <w:color w:val="4F81BD" w:themeColor="accent1"/>
      <w:sz w:val="18"/>
      <w:szCs w:val="18"/>
    </w:rPr>
  </w:style>
  <w:style w:type="table" w:styleId="TableGrid">
    <w:name w:val="Table Grid"/>
    <w:basedOn w:val="TableNormal"/>
    <w:rsid w:val="00CE4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_Bullet"/>
    <w:basedOn w:val="Body"/>
    <w:link w:val="BulletChar"/>
    <w:qFormat/>
    <w:rsid w:val="00CE4F57"/>
    <w:pPr>
      <w:numPr>
        <w:numId w:val="3"/>
      </w:numPr>
      <w:tabs>
        <w:tab w:val="num" w:pos="0"/>
      </w:tabs>
      <w:spacing w:after="120" w:line="220" w:lineRule="atLeast"/>
      <w:ind w:left="284" w:hanging="227"/>
    </w:pPr>
  </w:style>
  <w:style w:type="character" w:customStyle="1" w:styleId="BulletChar">
    <w:name w:val="_Bullet Char"/>
    <w:link w:val="Bullet"/>
    <w:rsid w:val="00CE4F57"/>
    <w:rPr>
      <w:rFonts w:ascii="Arial" w:eastAsia="Times New Roman" w:hAnsi="Arial" w:cs="Arial"/>
      <w:sz w:val="20"/>
      <w:szCs w:val="24"/>
    </w:rPr>
  </w:style>
  <w:style w:type="paragraph" w:styleId="BalloonText">
    <w:name w:val="Balloon Text"/>
    <w:basedOn w:val="Normal"/>
    <w:link w:val="BalloonTextChar"/>
    <w:uiPriority w:val="99"/>
    <w:semiHidden/>
    <w:unhideWhenUsed/>
    <w:rsid w:val="00CE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57"/>
    <w:rPr>
      <w:rFonts w:ascii="Tahoma" w:hAnsi="Tahoma" w:cs="Tahoma"/>
      <w:sz w:val="16"/>
      <w:szCs w:val="16"/>
    </w:rPr>
  </w:style>
  <w:style w:type="paragraph" w:customStyle="1" w:styleId="ImprintText">
    <w:name w:val="_ImprintText"/>
    <w:uiPriority w:val="9"/>
    <w:rsid w:val="00CE4F57"/>
    <w:pPr>
      <w:spacing w:after="85" w:line="170" w:lineRule="atLeast"/>
    </w:pPr>
    <w:rPr>
      <w:rFonts w:ascii="Calibri" w:eastAsia="Times New Roman" w:hAnsi="Calibri" w:cs="Arial"/>
      <w:sz w:val="16"/>
      <w:szCs w:val="14"/>
    </w:rPr>
  </w:style>
  <w:style w:type="character" w:styleId="Hyperlink">
    <w:name w:val="Hyperlink"/>
    <w:semiHidden/>
    <w:rsid w:val="00CE4F57"/>
    <w:rPr>
      <w:color w:val="0000FF"/>
      <w:u w:val="single"/>
    </w:rPr>
  </w:style>
  <w:style w:type="paragraph" w:styleId="Header">
    <w:name w:val="header"/>
    <w:basedOn w:val="Normal"/>
    <w:link w:val="HeaderChar"/>
    <w:uiPriority w:val="99"/>
    <w:unhideWhenUsed/>
    <w:rsid w:val="00CE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57"/>
  </w:style>
  <w:style w:type="paragraph" w:styleId="Footer">
    <w:name w:val="footer"/>
    <w:basedOn w:val="Normal"/>
    <w:link w:val="FooterChar"/>
    <w:uiPriority w:val="99"/>
    <w:unhideWhenUsed/>
    <w:rsid w:val="00CE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F57"/>
  </w:style>
  <w:style w:type="paragraph" w:customStyle="1" w:styleId="CertHBWhite">
    <w:name w:val="_CertHBWhite"/>
    <w:uiPriority w:val="3"/>
    <w:rsid w:val="00995D6E"/>
    <w:pPr>
      <w:spacing w:after="0" w:line="720" w:lineRule="atLeast"/>
    </w:pPr>
    <w:rPr>
      <w:rFonts w:ascii="Calibri" w:eastAsia="Times New Roman" w:hAnsi="Calibri" w:cs="Arial"/>
      <w:color w:val="FFFFFF"/>
      <w:sz w:val="72"/>
      <w:szCs w:val="24"/>
    </w:rPr>
  </w:style>
  <w:style w:type="paragraph" w:customStyle="1" w:styleId="Bullet2">
    <w:name w:val="_Bullet2"/>
    <w:basedOn w:val="Bullet"/>
    <w:qFormat/>
    <w:rsid w:val="00E10CD4"/>
    <w:pPr>
      <w:numPr>
        <w:ilvl w:val="1"/>
        <w:numId w:val="7"/>
      </w:numPr>
    </w:pPr>
  </w:style>
  <w:style w:type="paragraph" w:customStyle="1" w:styleId="CertHCWhite">
    <w:name w:val="_CertHCWhite"/>
    <w:semiHidden/>
    <w:rsid w:val="00E10CD4"/>
    <w:pPr>
      <w:spacing w:after="0" w:line="600" w:lineRule="atLeast"/>
    </w:pPr>
    <w:rPr>
      <w:rFonts w:ascii="Arial" w:eastAsia="Times New Roman" w:hAnsi="Arial" w:cs="Arial"/>
      <w:color w:val="FFFFFF"/>
      <w:sz w:val="52"/>
      <w:szCs w:val="24"/>
    </w:rPr>
  </w:style>
  <w:style w:type="paragraph" w:styleId="ListParagraph">
    <w:name w:val="List Paragraph"/>
    <w:basedOn w:val="Normal"/>
    <w:uiPriority w:val="34"/>
    <w:qFormat/>
    <w:rsid w:val="00655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CE4F57"/>
    <w:pPr>
      <w:spacing w:after="113" w:line="240" w:lineRule="atLeast"/>
    </w:pPr>
    <w:rPr>
      <w:rFonts w:ascii="Arial" w:eastAsia="Times New Roman" w:hAnsi="Arial" w:cs="Arial"/>
      <w:sz w:val="20"/>
      <w:szCs w:val="24"/>
    </w:rPr>
  </w:style>
  <w:style w:type="paragraph" w:customStyle="1" w:styleId="Textboxgrey">
    <w:name w:val="Text box grey"/>
    <w:basedOn w:val="Normal"/>
    <w:link w:val="TextboxgreyChar"/>
    <w:qFormat/>
    <w:rsid w:val="00CE4F57"/>
    <w:pPr>
      <w:spacing w:before="120" w:after="0" w:line="240" w:lineRule="atLeast"/>
      <w:jc w:val="both"/>
    </w:pPr>
    <w:rPr>
      <w:rFonts w:ascii="Arial" w:eastAsia="Times New Roman" w:hAnsi="Arial" w:cs="Arial"/>
      <w:color w:val="0D0D0D" w:themeColor="text1" w:themeTint="F2"/>
      <w:szCs w:val="24"/>
    </w:rPr>
  </w:style>
  <w:style w:type="character" w:customStyle="1" w:styleId="TextboxgreyChar">
    <w:name w:val="Text box grey Char"/>
    <w:basedOn w:val="DefaultParagraphFont"/>
    <w:link w:val="Textboxgrey"/>
    <w:rsid w:val="00CE4F57"/>
    <w:rPr>
      <w:rFonts w:ascii="Arial" w:eastAsia="Times New Roman" w:hAnsi="Arial" w:cs="Arial"/>
      <w:color w:val="0D0D0D" w:themeColor="text1" w:themeTint="F2"/>
      <w:szCs w:val="24"/>
    </w:rPr>
  </w:style>
  <w:style w:type="paragraph" w:customStyle="1" w:styleId="A3HE">
    <w:name w:val="_A3HE"/>
    <w:link w:val="A3HEChar"/>
    <w:qFormat/>
    <w:rsid w:val="00CE4F57"/>
    <w:pPr>
      <w:spacing w:after="120" w:line="360" w:lineRule="atLeast"/>
    </w:pPr>
    <w:rPr>
      <w:rFonts w:eastAsia="Times New Roman" w:cstheme="minorHAnsi"/>
      <w:color w:val="31849B" w:themeColor="accent5" w:themeShade="BF"/>
      <w:sz w:val="36"/>
      <w:szCs w:val="24"/>
    </w:rPr>
  </w:style>
  <w:style w:type="character" w:customStyle="1" w:styleId="A3HEChar">
    <w:name w:val="_A3HE Char"/>
    <w:link w:val="A3HE"/>
    <w:rsid w:val="00CE4F57"/>
    <w:rPr>
      <w:rFonts w:eastAsia="Times New Roman" w:cstheme="minorHAnsi"/>
      <w:color w:val="31849B" w:themeColor="accent5" w:themeShade="BF"/>
      <w:sz w:val="36"/>
      <w:szCs w:val="24"/>
    </w:rPr>
  </w:style>
  <w:style w:type="paragraph" w:styleId="Caption">
    <w:name w:val="caption"/>
    <w:basedOn w:val="Normal"/>
    <w:next w:val="Normal"/>
    <w:unhideWhenUsed/>
    <w:qFormat/>
    <w:rsid w:val="00CE4F57"/>
    <w:pPr>
      <w:spacing w:line="240" w:lineRule="auto"/>
    </w:pPr>
    <w:rPr>
      <w:rFonts w:ascii="Calibri" w:eastAsia="Times New Roman" w:hAnsi="Calibri" w:cs="Times New Roman"/>
      <w:b/>
      <w:bCs/>
      <w:color w:val="4F81BD" w:themeColor="accent1"/>
      <w:sz w:val="18"/>
      <w:szCs w:val="18"/>
    </w:rPr>
  </w:style>
  <w:style w:type="table" w:styleId="TableGrid">
    <w:name w:val="Table Grid"/>
    <w:basedOn w:val="TableNormal"/>
    <w:rsid w:val="00CE4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_Bullet"/>
    <w:basedOn w:val="Body"/>
    <w:link w:val="BulletChar"/>
    <w:qFormat/>
    <w:rsid w:val="00CE4F57"/>
    <w:pPr>
      <w:numPr>
        <w:numId w:val="3"/>
      </w:numPr>
      <w:tabs>
        <w:tab w:val="num" w:pos="0"/>
      </w:tabs>
      <w:spacing w:after="120" w:line="220" w:lineRule="atLeast"/>
      <w:ind w:left="284" w:hanging="227"/>
    </w:pPr>
  </w:style>
  <w:style w:type="character" w:customStyle="1" w:styleId="BulletChar">
    <w:name w:val="_Bullet Char"/>
    <w:link w:val="Bullet"/>
    <w:rsid w:val="00CE4F57"/>
    <w:rPr>
      <w:rFonts w:ascii="Arial" w:eastAsia="Times New Roman" w:hAnsi="Arial" w:cs="Arial"/>
      <w:sz w:val="20"/>
      <w:szCs w:val="24"/>
    </w:rPr>
  </w:style>
  <w:style w:type="paragraph" w:styleId="BalloonText">
    <w:name w:val="Balloon Text"/>
    <w:basedOn w:val="Normal"/>
    <w:link w:val="BalloonTextChar"/>
    <w:uiPriority w:val="99"/>
    <w:semiHidden/>
    <w:unhideWhenUsed/>
    <w:rsid w:val="00CE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57"/>
    <w:rPr>
      <w:rFonts w:ascii="Tahoma" w:hAnsi="Tahoma" w:cs="Tahoma"/>
      <w:sz w:val="16"/>
      <w:szCs w:val="16"/>
    </w:rPr>
  </w:style>
  <w:style w:type="paragraph" w:customStyle="1" w:styleId="ImprintText">
    <w:name w:val="_ImprintText"/>
    <w:uiPriority w:val="9"/>
    <w:rsid w:val="00CE4F57"/>
    <w:pPr>
      <w:spacing w:after="85" w:line="170" w:lineRule="atLeast"/>
    </w:pPr>
    <w:rPr>
      <w:rFonts w:ascii="Calibri" w:eastAsia="Times New Roman" w:hAnsi="Calibri" w:cs="Arial"/>
      <w:sz w:val="16"/>
      <w:szCs w:val="14"/>
    </w:rPr>
  </w:style>
  <w:style w:type="character" w:styleId="Hyperlink">
    <w:name w:val="Hyperlink"/>
    <w:semiHidden/>
    <w:rsid w:val="00CE4F57"/>
    <w:rPr>
      <w:color w:val="0000FF"/>
      <w:u w:val="single"/>
    </w:rPr>
  </w:style>
  <w:style w:type="paragraph" w:styleId="Header">
    <w:name w:val="header"/>
    <w:basedOn w:val="Normal"/>
    <w:link w:val="HeaderChar"/>
    <w:uiPriority w:val="99"/>
    <w:unhideWhenUsed/>
    <w:rsid w:val="00CE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57"/>
  </w:style>
  <w:style w:type="paragraph" w:styleId="Footer">
    <w:name w:val="footer"/>
    <w:basedOn w:val="Normal"/>
    <w:link w:val="FooterChar"/>
    <w:uiPriority w:val="99"/>
    <w:unhideWhenUsed/>
    <w:rsid w:val="00CE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F57"/>
  </w:style>
  <w:style w:type="paragraph" w:customStyle="1" w:styleId="CertHBWhite">
    <w:name w:val="_CertHBWhite"/>
    <w:uiPriority w:val="3"/>
    <w:rsid w:val="00995D6E"/>
    <w:pPr>
      <w:spacing w:after="0" w:line="720" w:lineRule="atLeast"/>
    </w:pPr>
    <w:rPr>
      <w:rFonts w:ascii="Calibri" w:eastAsia="Times New Roman" w:hAnsi="Calibri" w:cs="Arial"/>
      <w:color w:val="FFFFFF"/>
      <w:sz w:val="72"/>
      <w:szCs w:val="24"/>
    </w:rPr>
  </w:style>
  <w:style w:type="paragraph" w:customStyle="1" w:styleId="Bullet2">
    <w:name w:val="_Bullet2"/>
    <w:basedOn w:val="Bullet"/>
    <w:qFormat/>
    <w:rsid w:val="00E10CD4"/>
    <w:pPr>
      <w:numPr>
        <w:ilvl w:val="1"/>
        <w:numId w:val="7"/>
      </w:numPr>
    </w:pPr>
  </w:style>
  <w:style w:type="paragraph" w:customStyle="1" w:styleId="CertHCWhite">
    <w:name w:val="_CertHCWhite"/>
    <w:semiHidden/>
    <w:rsid w:val="00E10CD4"/>
    <w:pPr>
      <w:spacing w:after="0" w:line="600" w:lineRule="atLeast"/>
    </w:pPr>
    <w:rPr>
      <w:rFonts w:ascii="Arial" w:eastAsia="Times New Roman" w:hAnsi="Arial" w:cs="Arial"/>
      <w:color w:val="FFFFFF"/>
      <w:sz w:val="52"/>
      <w:szCs w:val="24"/>
    </w:rPr>
  </w:style>
  <w:style w:type="paragraph" w:styleId="ListParagraph">
    <w:name w:val="List Paragraph"/>
    <w:basedOn w:val="Normal"/>
    <w:uiPriority w:val="34"/>
    <w:qFormat/>
    <w:rsid w:val="00655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http://creativecommons.org/licenses/by/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creativecommons.org/licenses/by/4.0/"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creativecommons.org/licenses/by/4.0/" TargetMode="External"/><Relationship Id="rId32"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relayservice.com.au" TargetMode="External"/><Relationship Id="rId28" Type="http://schemas.openxmlformats.org/officeDocument/2006/relationships/hyperlink" Target="mailto:alpine.greatergippsland@delwp.vic.gov.au" TargetMode="Externa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customer.service@delwp.vic.gov.au" TargetMode="External"/><Relationship Id="rId27" Type="http://schemas.openxmlformats.org/officeDocument/2006/relationships/hyperlink" Target="http://www.relayservice.com.au" TargetMode="External"/><Relationship Id="rId30"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9D423-FF04-413C-B167-F43B18DE1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mm61</dc:creator>
  <cp:lastModifiedBy>Joanne Eastman</cp:lastModifiedBy>
  <cp:revision>3</cp:revision>
  <cp:lastPrinted>2016-02-02T04:56:00Z</cp:lastPrinted>
  <dcterms:created xsi:type="dcterms:W3CDTF">2016-03-31T00:28:00Z</dcterms:created>
  <dcterms:modified xsi:type="dcterms:W3CDTF">2016-03-31T01:20:00Z</dcterms:modified>
</cp:coreProperties>
</file>