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91E" w:rsidRPr="0066491E" w:rsidRDefault="0066491E" w:rsidP="0066491E">
      <w:pPr>
        <w:pStyle w:val="A3HE"/>
      </w:pPr>
      <w:r w:rsidRPr="0066491E">
        <w:t>How did we determine priorities?</w:t>
      </w:r>
    </w:p>
    <w:p w:rsidR="0066491E" w:rsidRPr="0066491E" w:rsidRDefault="0066491E" w:rsidP="0066491E">
      <w:pPr>
        <w:pStyle w:val="Body"/>
        <w:rPr>
          <w:rFonts w:asciiTheme="minorHAnsi" w:hAnsiTheme="minorHAnsi"/>
        </w:rPr>
      </w:pPr>
      <w:r w:rsidRPr="0066491E">
        <w:rPr>
          <w:rFonts w:asciiTheme="minorHAnsi" w:hAnsiTheme="minorHAnsi"/>
        </w:rPr>
        <w:t>Our planning methods are based on the International Standard for Risk Management ISO31000. We prioritise an asset category for protection if it is at high</w:t>
      </w:r>
      <w:r w:rsidR="00F72A54">
        <w:rPr>
          <w:rFonts w:asciiTheme="minorHAnsi" w:hAnsiTheme="minorHAnsi"/>
        </w:rPr>
        <w:t xml:space="preserve"> risk from bushfires, and</w:t>
      </w:r>
      <w:r w:rsidRPr="0066491E">
        <w:rPr>
          <w:rFonts w:asciiTheme="minorHAnsi" w:hAnsiTheme="minorHAnsi"/>
        </w:rPr>
        <w:t xml:space="preserve"> fuel management </w:t>
      </w:r>
      <w:r w:rsidR="00F72A54">
        <w:rPr>
          <w:rFonts w:asciiTheme="minorHAnsi" w:hAnsiTheme="minorHAnsi"/>
        </w:rPr>
        <w:t>can</w:t>
      </w:r>
      <w:r w:rsidRPr="0066491E">
        <w:rPr>
          <w:rFonts w:asciiTheme="minorHAnsi" w:hAnsiTheme="minorHAnsi"/>
        </w:rPr>
        <w:t xml:space="preserve"> meaningfully reduce its risk of being damaged through bushfire. We consider all assets within each priority asset category as priority assets, regardless of where they are in the landscape. We use the PIPE$S framework to group assets into categories: People, Infrastructure, Public Administration, Environment, Economy and Social Settings.</w:t>
      </w:r>
    </w:p>
    <w:p w:rsidR="0066491E" w:rsidRPr="0066491E" w:rsidRDefault="0066491E" w:rsidP="0066491E">
      <w:pPr>
        <w:pStyle w:val="Body"/>
        <w:rPr>
          <w:rFonts w:asciiTheme="minorHAnsi" w:hAnsiTheme="minorHAnsi"/>
        </w:rPr>
      </w:pPr>
      <w:r w:rsidRPr="0066491E">
        <w:rPr>
          <w:rFonts w:asciiTheme="minorHAnsi" w:hAnsiTheme="minorHAnsi"/>
        </w:rPr>
        <w:t xml:space="preserve">The Alpine and Greater Gippsland landscape comprises 3.3million hectares, around 70% of which is public land, most of it heavily forested. Despite having only 1.4% of the state’s population, 38% of residents live in small towns and communities of fewer than 500 people in remote, rural and coastal areas, often adjacent to parks. </w:t>
      </w:r>
    </w:p>
    <w:p w:rsidR="0066491E" w:rsidRPr="0066491E" w:rsidRDefault="0066491E" w:rsidP="0066491E">
      <w:pPr>
        <w:pStyle w:val="Body"/>
        <w:rPr>
          <w:rFonts w:asciiTheme="minorHAnsi" w:hAnsiTheme="minorHAnsi"/>
        </w:rPr>
      </w:pPr>
      <w:r w:rsidRPr="0066491E">
        <w:rPr>
          <w:rFonts w:asciiTheme="minorHAnsi" w:hAnsiTheme="minorHAnsi"/>
        </w:rPr>
        <w:t>The landscape supports a wide variety of industries, with more than 30,000 jobs generating $5billion in the region. Oil and gas are major contributors, along with agriculture, horticulture, forestry, fishing, tourism, education and healthcare. The tourism sector alone brings $450 million to the region and supports 2,400 jobs across the East Gippsland and Wellington shires.  Tourism is particularly vulnerable to bushfire – being impacted both by the warnings and actual fire threat.</w:t>
      </w:r>
    </w:p>
    <w:p w:rsidR="0066491E" w:rsidRPr="0066491E" w:rsidRDefault="0066491E" w:rsidP="0066491E">
      <w:pPr>
        <w:pStyle w:val="Body"/>
        <w:rPr>
          <w:rFonts w:asciiTheme="minorHAnsi" w:hAnsiTheme="minorHAnsi"/>
        </w:rPr>
      </w:pPr>
      <w:r w:rsidRPr="0066491E">
        <w:rPr>
          <w:rFonts w:asciiTheme="minorHAnsi" w:hAnsiTheme="minorHAnsi"/>
        </w:rPr>
        <w:t xml:space="preserve">DELWP and Parks Victoria (PV) have been working with two main groups, the Internal Working Group, and the Landscape Reference Group to establish the initial </w:t>
      </w:r>
      <w:r w:rsidRPr="0066491E">
        <w:rPr>
          <w:rFonts w:asciiTheme="minorHAnsi" w:hAnsiTheme="minorHAnsi"/>
        </w:rPr>
        <w:lastRenderedPageBreak/>
        <w:t xml:space="preserve">strategic bushfire risk management plan. These groups comprise people with extensive local knowledge and experience of fire management in the landscape. </w:t>
      </w:r>
    </w:p>
    <w:p w:rsidR="0066491E" w:rsidRPr="0066491E" w:rsidRDefault="0066491E" w:rsidP="0066491E">
      <w:pPr>
        <w:pStyle w:val="Body"/>
        <w:rPr>
          <w:rFonts w:asciiTheme="minorHAnsi" w:hAnsiTheme="minorHAnsi"/>
        </w:rPr>
      </w:pPr>
      <w:r w:rsidRPr="0066491E">
        <w:rPr>
          <w:rFonts w:asciiTheme="minorHAnsi" w:hAnsiTheme="minorHAnsi"/>
        </w:rPr>
        <w:t>They reviewed the assets register, determined priorities for protection and reviewed the prediction models of likelihood and consequence of bushfire. Together, these determine the risk profiles for each of those assets in our landscape.</w:t>
      </w:r>
    </w:p>
    <w:p w:rsidR="0066491E" w:rsidRPr="0066491E" w:rsidRDefault="0066491E" w:rsidP="0066491E">
      <w:pPr>
        <w:pStyle w:val="A3HE"/>
      </w:pPr>
      <w:r w:rsidRPr="0066491E">
        <w:t>What data was assessed?</w:t>
      </w:r>
    </w:p>
    <w:p w:rsidR="008A6888" w:rsidRPr="0066491E" w:rsidRDefault="0066491E" w:rsidP="0066491E">
      <w:pPr>
        <w:pStyle w:val="Body"/>
        <w:rPr>
          <w:rFonts w:asciiTheme="minorHAnsi" w:hAnsiTheme="minorHAnsi"/>
        </w:rPr>
      </w:pPr>
      <w:r w:rsidRPr="0066491E">
        <w:rPr>
          <w:rFonts w:asciiTheme="minorHAnsi" w:hAnsiTheme="minorHAnsi"/>
        </w:rPr>
        <w:t>Our planning method draws on the best available information</w:t>
      </w:r>
      <w:r>
        <w:rPr>
          <w:rFonts w:asciiTheme="minorHAnsi" w:hAnsiTheme="minorHAnsi"/>
        </w:rPr>
        <w:t>.</w:t>
      </w:r>
      <w:r w:rsidRPr="0066491E">
        <w:rPr>
          <w:rFonts w:asciiTheme="minorHAnsi" w:hAnsiTheme="minorHAnsi"/>
        </w:rPr>
        <w:t xml:space="preserve"> </w:t>
      </w:r>
      <w:r>
        <w:rPr>
          <w:rFonts w:asciiTheme="minorHAnsi" w:hAnsiTheme="minorHAnsi"/>
        </w:rPr>
        <w:t>T</w:t>
      </w:r>
      <w:r w:rsidR="008A6888" w:rsidRPr="0066491E">
        <w:rPr>
          <w:rFonts w:asciiTheme="minorHAnsi" w:hAnsiTheme="minorHAnsi"/>
        </w:rPr>
        <w:t>o manage bushfire risk, we need to firstly have a clear understanding of the predicted risk and the influencing factors.</w:t>
      </w:r>
    </w:p>
    <w:p w:rsidR="0066491E" w:rsidRPr="0066491E" w:rsidRDefault="0066491E" w:rsidP="0066491E">
      <w:pPr>
        <w:pStyle w:val="A3HE"/>
        <w:rPr>
          <w:sz w:val="34"/>
          <w:szCs w:val="34"/>
        </w:rPr>
      </w:pPr>
      <w:r w:rsidRPr="0066491E">
        <w:rPr>
          <w:sz w:val="34"/>
          <w:szCs w:val="34"/>
        </w:rPr>
        <w:t>What data was assessed?</w:t>
      </w:r>
    </w:p>
    <w:p w:rsidR="00F72A54" w:rsidRDefault="00985859" w:rsidP="0066491E">
      <w:pPr>
        <w:pStyle w:val="Body"/>
        <w:rPr>
          <w:rFonts w:asciiTheme="minorHAnsi" w:hAnsiTheme="minorHAnsi"/>
        </w:rPr>
      </w:pPr>
      <w:r w:rsidRPr="0066491E">
        <w:rPr>
          <w:rFonts w:asciiTheme="minorHAnsi" w:hAnsiTheme="minorHAnsi"/>
          <w:b/>
          <w:noProof/>
        </w:rPr>
        <w:drawing>
          <wp:anchor distT="0" distB="0" distL="114300" distR="114300" simplePos="0" relativeHeight="251671552" behindDoc="1" locked="0" layoutInCell="1" allowOverlap="1" wp14:anchorId="00E4778D" wp14:editId="57CAFE04">
            <wp:simplePos x="0" y="0"/>
            <wp:positionH relativeFrom="column">
              <wp:posOffset>1644650</wp:posOffset>
            </wp:positionH>
            <wp:positionV relativeFrom="paragraph">
              <wp:posOffset>88265</wp:posOffset>
            </wp:positionV>
            <wp:extent cx="1381125" cy="1381125"/>
            <wp:effectExtent l="0" t="0" r="0" b="0"/>
            <wp:wrapTight wrapText="bothSides">
              <wp:wrapPolygon edited="0">
                <wp:start x="596" y="0"/>
                <wp:lineTo x="0" y="596"/>
                <wp:lineTo x="0" y="21451"/>
                <wp:lineTo x="20855" y="21451"/>
                <wp:lineTo x="21451" y="20855"/>
                <wp:lineTo x="21451" y="596"/>
                <wp:lineTo x="20855" y="0"/>
                <wp:lineTo x="596" y="0"/>
              </wp:wrapPolygon>
            </wp:wrapTight>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wifts' creek scho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sidR="00BF1FB7">
        <w:rPr>
          <w:noProof/>
        </w:rPr>
        <mc:AlternateContent>
          <mc:Choice Requires="wps">
            <w:drawing>
              <wp:anchor distT="0" distB="0" distL="114300" distR="114300" simplePos="0" relativeHeight="251674624" behindDoc="0" locked="0" layoutInCell="1" allowOverlap="1">
                <wp:simplePos x="0" y="0"/>
                <wp:positionH relativeFrom="column">
                  <wp:posOffset>-107315</wp:posOffset>
                </wp:positionH>
                <wp:positionV relativeFrom="paragraph">
                  <wp:posOffset>1697990</wp:posOffset>
                </wp:positionV>
                <wp:extent cx="3238500" cy="685800"/>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85800"/>
                        </a:xfrm>
                        <a:prstGeom prst="rect">
                          <a:avLst/>
                        </a:prstGeom>
                        <a:solidFill>
                          <a:srgbClr val="FFFFFF"/>
                        </a:solidFill>
                        <a:ln w="9525">
                          <a:solidFill>
                            <a:schemeClr val="bg1">
                              <a:lumMod val="100000"/>
                              <a:lumOff val="0"/>
                            </a:schemeClr>
                          </a:solidFill>
                          <a:miter lim="800000"/>
                          <a:headEnd/>
                          <a:tailEnd/>
                        </a:ln>
                      </wps:spPr>
                      <wps:txbx>
                        <w:txbxContent>
                          <w:p w:rsidR="00985859" w:rsidRPr="00985859" w:rsidRDefault="00985859" w:rsidP="00985859">
                            <w:pPr>
                              <w:pStyle w:val="Body"/>
                              <w:rPr>
                                <w:sz w:val="18"/>
                                <w:szCs w:val="18"/>
                              </w:rPr>
                            </w:pPr>
                            <w:r w:rsidRPr="00985859">
                              <w:rPr>
                                <w:b/>
                                <w:sz w:val="18"/>
                                <w:szCs w:val="18"/>
                              </w:rPr>
                              <w:t xml:space="preserve">From these data sets, we identified more than 70,000 dwelling assets, 11,200 individual assets and over 3,000,000 ha of environmental assets across the Alpine and Greater Gippsland landscape. </w:t>
                            </w:r>
                          </w:p>
                          <w:p w:rsidR="00985859" w:rsidRDefault="009858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pt;margin-top:133.7pt;width:25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" strokecolor="white [3212]">
                <v:textbox>
                  <w:txbxContent>
                    <w:p w:rsidR="00985859" w:rsidRPr="00985859" w:rsidRDefault="00985859" w:rsidP="00985859">
                      <w:pPr>
                        <w:pStyle w:val="Body"/>
                        <w:rPr>
                          <w:sz w:val="18"/>
                          <w:szCs w:val="18"/>
                        </w:rPr>
                      </w:pPr>
                      <w:r w:rsidRPr="00985859">
                        <w:rPr>
                          <w:b/>
                          <w:sz w:val="18"/>
                          <w:szCs w:val="18"/>
                        </w:rPr>
                        <w:t xml:space="preserve">From these data sets, we identified more than 70,000 dwelling assets, 11,200 individual assets and over 3,000,000 ha of environmental assets across the Alpine and Greater Gippsland landscape. </w:t>
                      </w:r>
                    </w:p>
                    <w:p w:rsidR="00985859" w:rsidRDefault="00985859"/>
                  </w:txbxContent>
                </v:textbox>
              </v:shape>
            </w:pict>
          </mc:Fallback>
        </mc:AlternateContent>
      </w:r>
      <w:r w:rsidR="0066491E" w:rsidRPr="0066491E">
        <w:rPr>
          <w:rFonts w:asciiTheme="minorHAnsi" w:hAnsiTheme="minorHAnsi"/>
        </w:rPr>
        <w:t xml:space="preserve">Our planning method draws on the best available information and data, including from the </w:t>
      </w:r>
      <w:r w:rsidR="0066491E" w:rsidRPr="00B55D81">
        <w:rPr>
          <w:rFonts w:asciiTheme="minorHAnsi" w:hAnsiTheme="minorHAnsi"/>
        </w:rPr>
        <w:t>Victorian Fire Risk Register,</w:t>
      </w:r>
      <w:r w:rsidR="0066491E" w:rsidRPr="0066491E">
        <w:rPr>
          <w:rFonts w:asciiTheme="minorHAnsi" w:hAnsiTheme="minorHAnsi"/>
        </w:rPr>
        <w:t xml:space="preserve"> Office of the Emergency Management Comm</w:t>
      </w:r>
      <w:r w:rsidR="00B55D81">
        <w:rPr>
          <w:rFonts w:asciiTheme="minorHAnsi" w:hAnsiTheme="minorHAnsi"/>
        </w:rPr>
        <w:t xml:space="preserve">issioner, DELWP, VicForests, </w:t>
      </w:r>
      <w:r w:rsidR="0066491E" w:rsidRPr="0066491E">
        <w:rPr>
          <w:rFonts w:asciiTheme="minorHAnsi" w:hAnsiTheme="minorHAnsi"/>
        </w:rPr>
        <w:t xml:space="preserve">Aboriginal Affairs Victoria, </w:t>
      </w:r>
      <w:r w:rsidR="00F72A54">
        <w:rPr>
          <w:rFonts w:asciiTheme="minorHAnsi" w:hAnsiTheme="minorHAnsi"/>
        </w:rPr>
        <w:t xml:space="preserve">our </w:t>
      </w:r>
      <w:r w:rsidR="0066491E" w:rsidRPr="0066491E">
        <w:rPr>
          <w:rFonts w:asciiTheme="minorHAnsi" w:hAnsiTheme="minorHAnsi"/>
        </w:rPr>
        <w:t>Environmental Scan, Department of Health and Department of Education</w:t>
      </w:r>
      <w:r w:rsidR="00F72A54">
        <w:rPr>
          <w:rFonts w:asciiTheme="minorHAnsi" w:hAnsiTheme="minorHAnsi"/>
        </w:rPr>
        <w:t>.</w:t>
      </w:r>
      <w:r w:rsidR="0066491E" w:rsidRPr="0066491E">
        <w:rPr>
          <w:rFonts w:asciiTheme="minorHAnsi" w:hAnsiTheme="minorHAnsi"/>
        </w:rPr>
        <w:t xml:space="preserve"> </w:t>
      </w:r>
    </w:p>
    <w:p w:rsidR="00985859" w:rsidRDefault="00985859" w:rsidP="0066491E">
      <w:pPr>
        <w:pStyle w:val="Body"/>
        <w:rPr>
          <w:b/>
        </w:rPr>
        <w:sectPr w:rsidR="00985859" w:rsidSect="0066491E">
          <w:headerReference w:type="default" r:id="rId10"/>
          <w:footerReference w:type="default" r:id="rId11"/>
          <w:pgSz w:w="11906" w:h="16838"/>
          <w:pgMar w:top="7513" w:right="707" w:bottom="1134" w:left="851" w:header="426" w:footer="580" w:gutter="0"/>
          <w:cols w:num="2" w:space="708"/>
          <w:docGrid w:linePitch="360"/>
        </w:sectPr>
      </w:pPr>
    </w:p>
    <w:p w:rsidR="0066491E" w:rsidRPr="0066491E" w:rsidRDefault="0066491E" w:rsidP="0066491E">
      <w:pPr>
        <w:pStyle w:val="Body"/>
        <w:rPr>
          <w:rFonts w:asciiTheme="minorHAnsi" w:hAnsiTheme="minorHAnsi"/>
          <w:color w:val="5AA4AD"/>
        </w:rPr>
      </w:pPr>
      <w:r w:rsidRPr="0066491E">
        <w:rPr>
          <w:rFonts w:asciiTheme="minorHAnsi" w:hAnsiTheme="minorHAnsi"/>
          <w:color w:val="5AA4AD"/>
          <w:sz w:val="34"/>
          <w:szCs w:val="34"/>
        </w:rPr>
        <w:lastRenderedPageBreak/>
        <w:t>What are the categories</w:t>
      </w:r>
      <w:r w:rsidR="008067D8">
        <w:rPr>
          <w:rFonts w:asciiTheme="minorHAnsi" w:hAnsiTheme="minorHAnsi"/>
          <w:color w:val="5AA4AD"/>
          <w:sz w:val="34"/>
          <w:szCs w:val="34"/>
        </w:rPr>
        <w:t>?</w:t>
      </w:r>
      <w:r w:rsidRPr="0066491E">
        <w:rPr>
          <w:rFonts w:asciiTheme="minorHAnsi" w:hAnsiTheme="minorHAnsi"/>
          <w:color w:val="5AA4AD"/>
        </w:rPr>
        <w:t xml:space="preserve"> </w:t>
      </w:r>
    </w:p>
    <w:p w:rsidR="0066491E" w:rsidRDefault="0066491E" w:rsidP="0066491E">
      <w:pPr>
        <w:pStyle w:val="Body"/>
        <w:rPr>
          <w:rFonts w:asciiTheme="minorHAnsi" w:hAnsiTheme="minorHAnsi"/>
        </w:rPr>
      </w:pPr>
      <w:r w:rsidRPr="0066491E">
        <w:rPr>
          <w:rFonts w:asciiTheme="minorHAnsi" w:hAnsiTheme="minorHAnsi"/>
        </w:rPr>
        <w:t xml:space="preserve">These assets were classified according to the PIPE$S framework (Figure 1). </w:t>
      </w:r>
    </w:p>
    <w:tbl>
      <w:tblPr>
        <w:tblStyle w:val="TableGrid"/>
        <w:tblW w:w="0" w:type="auto"/>
        <w:tblInd w:w="108" w:type="dxa"/>
        <w:tblBorders>
          <w:top w:val="single" w:sz="4" w:space="0" w:color="5AA4AD"/>
          <w:left w:val="single" w:sz="4" w:space="0" w:color="5AA4AD"/>
          <w:bottom w:val="single" w:sz="4" w:space="0" w:color="5AA4AD"/>
          <w:right w:val="single" w:sz="4" w:space="0" w:color="5AA4AD"/>
          <w:insideH w:val="single" w:sz="4" w:space="0" w:color="5AA4AD"/>
          <w:insideV w:val="single" w:sz="4" w:space="0" w:color="5AA4AD"/>
        </w:tblBorders>
        <w:tblLook w:val="04A0" w:firstRow="1" w:lastRow="0" w:firstColumn="1" w:lastColumn="0" w:noHBand="0" w:noVBand="1"/>
      </w:tblPr>
      <w:tblGrid>
        <w:gridCol w:w="1186"/>
        <w:gridCol w:w="1649"/>
        <w:gridCol w:w="1843"/>
      </w:tblGrid>
      <w:tr w:rsidR="0066491E" w:rsidRPr="008067D8" w:rsidTr="008067D8">
        <w:tc>
          <w:tcPr>
            <w:tcW w:w="1186" w:type="dxa"/>
            <w:shd w:val="clear" w:color="auto" w:fill="5AA4AD"/>
            <w:vAlign w:val="center"/>
          </w:tcPr>
          <w:p w:rsidR="0066491E" w:rsidRPr="008067D8" w:rsidRDefault="008067D8" w:rsidP="008067D8">
            <w:pPr>
              <w:pStyle w:val="Body"/>
              <w:spacing w:after="0" w:line="240" w:lineRule="auto"/>
              <w:rPr>
                <w:rFonts w:asciiTheme="minorHAnsi" w:hAnsiTheme="minorHAnsi"/>
                <w:b/>
                <w:color w:val="FFFFFF" w:themeColor="background1"/>
                <w:sz w:val="16"/>
              </w:rPr>
            </w:pPr>
            <w:r>
              <w:rPr>
                <w:rFonts w:asciiTheme="minorHAnsi" w:hAnsiTheme="minorHAnsi"/>
                <w:b/>
                <w:color w:val="FFFFFF" w:themeColor="background1"/>
                <w:sz w:val="16"/>
              </w:rPr>
              <w:t xml:space="preserve">PIPE$S </w:t>
            </w:r>
            <w:r w:rsidR="0066491E" w:rsidRPr="008067D8">
              <w:rPr>
                <w:rFonts w:asciiTheme="minorHAnsi" w:hAnsiTheme="minorHAnsi"/>
                <w:b/>
                <w:color w:val="FFFFFF" w:themeColor="background1"/>
                <w:sz w:val="16"/>
              </w:rPr>
              <w:t>Class</w:t>
            </w:r>
          </w:p>
        </w:tc>
        <w:tc>
          <w:tcPr>
            <w:tcW w:w="1649" w:type="dxa"/>
            <w:shd w:val="clear" w:color="auto" w:fill="5AA4AD"/>
            <w:vAlign w:val="center"/>
          </w:tcPr>
          <w:p w:rsidR="0066491E" w:rsidRPr="008067D8" w:rsidRDefault="0066491E" w:rsidP="008067D8">
            <w:pPr>
              <w:pStyle w:val="Body"/>
              <w:spacing w:after="0" w:line="240" w:lineRule="auto"/>
              <w:rPr>
                <w:rFonts w:asciiTheme="minorHAnsi" w:hAnsiTheme="minorHAnsi"/>
                <w:b/>
                <w:color w:val="FFFFFF" w:themeColor="background1"/>
                <w:sz w:val="16"/>
              </w:rPr>
            </w:pPr>
            <w:r w:rsidRPr="008067D8">
              <w:rPr>
                <w:rFonts w:asciiTheme="minorHAnsi" w:hAnsiTheme="minorHAnsi"/>
                <w:b/>
                <w:color w:val="FFFFFF" w:themeColor="background1"/>
                <w:sz w:val="16"/>
              </w:rPr>
              <w:t>Description</w:t>
            </w:r>
          </w:p>
        </w:tc>
        <w:tc>
          <w:tcPr>
            <w:tcW w:w="1843" w:type="dxa"/>
            <w:shd w:val="clear" w:color="auto" w:fill="5AA4AD"/>
            <w:vAlign w:val="center"/>
          </w:tcPr>
          <w:p w:rsidR="0066491E" w:rsidRPr="008067D8" w:rsidRDefault="0066491E" w:rsidP="008067D8">
            <w:pPr>
              <w:pStyle w:val="Body"/>
              <w:spacing w:after="0" w:line="240" w:lineRule="auto"/>
              <w:rPr>
                <w:rFonts w:asciiTheme="minorHAnsi" w:hAnsiTheme="minorHAnsi"/>
                <w:b/>
                <w:color w:val="FFFFFF" w:themeColor="background1"/>
                <w:sz w:val="16"/>
              </w:rPr>
            </w:pPr>
            <w:r w:rsidRPr="008067D8">
              <w:rPr>
                <w:rFonts w:asciiTheme="minorHAnsi" w:hAnsiTheme="minorHAnsi"/>
                <w:b/>
                <w:color w:val="FFFFFF" w:themeColor="background1"/>
                <w:sz w:val="16"/>
              </w:rPr>
              <w:t>Examples</w:t>
            </w:r>
          </w:p>
        </w:tc>
      </w:tr>
      <w:tr w:rsidR="0066491E" w:rsidTr="008067D8">
        <w:tc>
          <w:tcPr>
            <w:tcW w:w="1186" w:type="dxa"/>
          </w:tcPr>
          <w:p w:rsidR="0066491E" w:rsidRPr="008067D8" w:rsidRDefault="0066491E" w:rsidP="008067D8">
            <w:pPr>
              <w:pStyle w:val="Body"/>
              <w:spacing w:after="0" w:line="240" w:lineRule="auto"/>
              <w:rPr>
                <w:rFonts w:asciiTheme="minorHAnsi" w:hAnsiTheme="minorHAnsi"/>
                <w:sz w:val="16"/>
              </w:rPr>
            </w:pPr>
            <w:r w:rsidRPr="008067D8">
              <w:rPr>
                <w:rFonts w:asciiTheme="minorHAnsi" w:hAnsiTheme="minorHAnsi"/>
                <w:sz w:val="16"/>
              </w:rPr>
              <w:t>People</w:t>
            </w:r>
          </w:p>
        </w:tc>
        <w:tc>
          <w:tcPr>
            <w:tcW w:w="1649" w:type="dxa"/>
          </w:tcPr>
          <w:p w:rsidR="0066491E" w:rsidRPr="008067D8" w:rsidRDefault="008067D8" w:rsidP="008067D8">
            <w:pPr>
              <w:pStyle w:val="Body"/>
              <w:spacing w:after="0" w:line="240" w:lineRule="auto"/>
              <w:rPr>
                <w:rFonts w:asciiTheme="minorHAnsi" w:hAnsiTheme="minorHAnsi"/>
                <w:sz w:val="16"/>
              </w:rPr>
            </w:pPr>
            <w:r w:rsidRPr="008067D8">
              <w:rPr>
                <w:rFonts w:asciiTheme="minorHAnsi" w:hAnsiTheme="minorHAnsi"/>
                <w:sz w:val="16"/>
              </w:rPr>
              <w:t>Asset class reflecting elements of human life</w:t>
            </w:r>
          </w:p>
        </w:tc>
        <w:tc>
          <w:tcPr>
            <w:tcW w:w="1843"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Human lives, houses, hospitals, schools, correctional facilities, camping assets</w:t>
            </w:r>
          </w:p>
        </w:tc>
      </w:tr>
      <w:tr w:rsidR="0066491E" w:rsidTr="008067D8">
        <w:tc>
          <w:tcPr>
            <w:tcW w:w="1186" w:type="dxa"/>
          </w:tcPr>
          <w:p w:rsidR="0066491E" w:rsidRPr="008067D8" w:rsidRDefault="0066491E" w:rsidP="008067D8">
            <w:pPr>
              <w:pStyle w:val="Body"/>
              <w:spacing w:after="0" w:line="240" w:lineRule="auto"/>
              <w:rPr>
                <w:rFonts w:asciiTheme="minorHAnsi" w:hAnsiTheme="minorHAnsi"/>
                <w:sz w:val="16"/>
              </w:rPr>
            </w:pPr>
            <w:r w:rsidRPr="008067D8">
              <w:rPr>
                <w:rFonts w:asciiTheme="minorHAnsi" w:hAnsiTheme="minorHAnsi"/>
                <w:sz w:val="16"/>
              </w:rPr>
              <w:t>Infrastructure</w:t>
            </w:r>
          </w:p>
        </w:tc>
        <w:tc>
          <w:tcPr>
            <w:tcW w:w="1649" w:type="dxa"/>
          </w:tcPr>
          <w:p w:rsidR="0066491E" w:rsidRPr="008067D8" w:rsidRDefault="008067D8" w:rsidP="008067D8">
            <w:pPr>
              <w:pStyle w:val="Body"/>
              <w:spacing w:after="0" w:line="240" w:lineRule="auto"/>
              <w:rPr>
                <w:rFonts w:asciiTheme="minorHAnsi" w:hAnsiTheme="minorHAnsi"/>
                <w:sz w:val="16"/>
              </w:rPr>
            </w:pPr>
            <w:r w:rsidRPr="008067D8">
              <w:rPr>
                <w:rFonts w:asciiTheme="minorHAnsi" w:hAnsiTheme="minorHAnsi"/>
                <w:sz w:val="16"/>
              </w:rPr>
              <w:t>Critical infrastructure consisting of utilities that service communities</w:t>
            </w:r>
          </w:p>
        </w:tc>
        <w:tc>
          <w:tcPr>
            <w:tcW w:w="1843"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Transport links and infrastructure, utility networks, water supply catchments</w:t>
            </w:r>
          </w:p>
        </w:tc>
      </w:tr>
      <w:tr w:rsidR="0066491E" w:rsidTr="008067D8">
        <w:tc>
          <w:tcPr>
            <w:tcW w:w="1186" w:type="dxa"/>
          </w:tcPr>
          <w:p w:rsidR="0066491E" w:rsidRPr="008067D8" w:rsidRDefault="0066491E" w:rsidP="008067D8">
            <w:pPr>
              <w:pStyle w:val="Body"/>
              <w:spacing w:after="0" w:line="240" w:lineRule="auto"/>
              <w:rPr>
                <w:rFonts w:asciiTheme="minorHAnsi" w:hAnsiTheme="minorHAnsi"/>
                <w:sz w:val="16"/>
              </w:rPr>
            </w:pPr>
            <w:r w:rsidRPr="008067D8">
              <w:rPr>
                <w:rFonts w:asciiTheme="minorHAnsi" w:hAnsiTheme="minorHAnsi"/>
                <w:sz w:val="16"/>
              </w:rPr>
              <w:t>Public Administration</w:t>
            </w:r>
          </w:p>
        </w:tc>
        <w:tc>
          <w:tcPr>
            <w:tcW w:w="1649" w:type="dxa"/>
          </w:tcPr>
          <w:p w:rsidR="0066491E" w:rsidRPr="008067D8" w:rsidRDefault="008067D8" w:rsidP="008067D8">
            <w:pPr>
              <w:pStyle w:val="Body"/>
              <w:spacing w:after="0" w:line="240" w:lineRule="auto"/>
              <w:rPr>
                <w:rFonts w:asciiTheme="minorHAnsi" w:hAnsiTheme="minorHAnsi"/>
                <w:sz w:val="16"/>
              </w:rPr>
            </w:pPr>
            <w:r w:rsidRPr="008067D8">
              <w:rPr>
                <w:rFonts w:asciiTheme="minorHAnsi" w:hAnsiTheme="minorHAnsi"/>
                <w:sz w:val="16"/>
              </w:rPr>
              <w:t>Public service assets that are necessary to support emergency management events</w:t>
            </w:r>
          </w:p>
        </w:tc>
        <w:tc>
          <w:tcPr>
            <w:tcW w:w="1843"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Administration and emergency facilities and infrastructure</w:t>
            </w:r>
          </w:p>
        </w:tc>
      </w:tr>
      <w:tr w:rsidR="0066491E" w:rsidTr="008067D8">
        <w:tc>
          <w:tcPr>
            <w:tcW w:w="1186" w:type="dxa"/>
          </w:tcPr>
          <w:p w:rsidR="0066491E" w:rsidRPr="008067D8" w:rsidRDefault="0066491E" w:rsidP="008067D8">
            <w:pPr>
              <w:pStyle w:val="Body"/>
              <w:spacing w:after="0" w:line="240" w:lineRule="auto"/>
              <w:rPr>
                <w:rFonts w:asciiTheme="minorHAnsi" w:hAnsiTheme="minorHAnsi"/>
                <w:sz w:val="16"/>
              </w:rPr>
            </w:pPr>
            <w:r w:rsidRPr="008067D8">
              <w:rPr>
                <w:rFonts w:asciiTheme="minorHAnsi" w:hAnsiTheme="minorHAnsi"/>
                <w:sz w:val="16"/>
              </w:rPr>
              <w:t>Environment</w:t>
            </w:r>
          </w:p>
        </w:tc>
        <w:tc>
          <w:tcPr>
            <w:tcW w:w="1649"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Asset class consisting of biodiversity, land and water assets</w:t>
            </w:r>
          </w:p>
        </w:tc>
        <w:tc>
          <w:tcPr>
            <w:tcW w:w="1843"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Fire sensitive vegetation, habitat for selected priority flora and fauna</w:t>
            </w:r>
          </w:p>
        </w:tc>
      </w:tr>
      <w:tr w:rsidR="0066491E" w:rsidTr="008067D8">
        <w:tc>
          <w:tcPr>
            <w:tcW w:w="1186" w:type="dxa"/>
          </w:tcPr>
          <w:p w:rsidR="0066491E" w:rsidRPr="008067D8" w:rsidRDefault="0066491E" w:rsidP="008067D8">
            <w:pPr>
              <w:pStyle w:val="Body"/>
              <w:spacing w:after="0" w:line="240" w:lineRule="auto"/>
              <w:rPr>
                <w:rFonts w:asciiTheme="minorHAnsi" w:hAnsiTheme="minorHAnsi"/>
                <w:sz w:val="16"/>
              </w:rPr>
            </w:pPr>
            <w:r w:rsidRPr="008067D8">
              <w:rPr>
                <w:rFonts w:asciiTheme="minorHAnsi" w:hAnsiTheme="minorHAnsi"/>
                <w:sz w:val="16"/>
              </w:rPr>
              <w:t>($) Economy</w:t>
            </w:r>
          </w:p>
        </w:tc>
        <w:tc>
          <w:tcPr>
            <w:tcW w:w="1649"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Consists of small and large businesses and resource assets</w:t>
            </w:r>
          </w:p>
        </w:tc>
        <w:tc>
          <w:tcPr>
            <w:tcW w:w="1843"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Business zones, apiary, farming, forestry, mines, tourism destinations and drives</w:t>
            </w:r>
          </w:p>
        </w:tc>
      </w:tr>
      <w:tr w:rsidR="0066491E" w:rsidTr="008067D8">
        <w:tc>
          <w:tcPr>
            <w:tcW w:w="1186" w:type="dxa"/>
          </w:tcPr>
          <w:p w:rsidR="0066491E" w:rsidRPr="008067D8" w:rsidRDefault="008067D8" w:rsidP="008067D8">
            <w:pPr>
              <w:pStyle w:val="Body"/>
              <w:spacing w:after="0" w:line="240" w:lineRule="auto"/>
              <w:rPr>
                <w:rFonts w:asciiTheme="minorHAnsi" w:hAnsiTheme="minorHAnsi"/>
                <w:sz w:val="16"/>
              </w:rPr>
            </w:pPr>
            <w:r w:rsidRPr="008067D8">
              <w:rPr>
                <w:rFonts w:asciiTheme="minorHAnsi" w:hAnsiTheme="minorHAnsi"/>
                <w:sz w:val="16"/>
              </w:rPr>
              <w:t>Social/Cultural</w:t>
            </w:r>
          </w:p>
        </w:tc>
        <w:tc>
          <w:tcPr>
            <w:tcW w:w="1649"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Assets that provide for the social fabric of the community</w:t>
            </w:r>
          </w:p>
        </w:tc>
        <w:tc>
          <w:tcPr>
            <w:tcW w:w="1843" w:type="dxa"/>
          </w:tcPr>
          <w:p w:rsidR="0066491E" w:rsidRPr="008067D8" w:rsidRDefault="008067D8" w:rsidP="008067D8">
            <w:pPr>
              <w:pStyle w:val="Body"/>
              <w:spacing w:after="0" w:line="240" w:lineRule="auto"/>
              <w:rPr>
                <w:rFonts w:asciiTheme="minorHAnsi" w:hAnsiTheme="minorHAnsi"/>
                <w:sz w:val="16"/>
              </w:rPr>
            </w:pPr>
            <w:r>
              <w:rPr>
                <w:rFonts w:asciiTheme="minorHAnsi" w:hAnsiTheme="minorHAnsi"/>
                <w:sz w:val="16"/>
              </w:rPr>
              <w:t>Community meeting places, Aboriginal and European cultural heritage sites</w:t>
            </w:r>
          </w:p>
        </w:tc>
      </w:tr>
    </w:tbl>
    <w:p w:rsidR="0066491E" w:rsidRDefault="0066491E" w:rsidP="008067D8">
      <w:pPr>
        <w:pStyle w:val="Body"/>
        <w:jc w:val="center"/>
        <w:rPr>
          <w:rFonts w:asciiTheme="minorHAnsi" w:hAnsiTheme="minorHAnsi"/>
          <w:b/>
          <w:sz w:val="18"/>
          <w:szCs w:val="18"/>
        </w:rPr>
      </w:pPr>
      <w:r w:rsidRPr="002455DE">
        <w:rPr>
          <w:rFonts w:asciiTheme="minorHAnsi" w:hAnsiTheme="minorHAnsi"/>
          <w:b/>
          <w:sz w:val="18"/>
          <w:szCs w:val="18"/>
        </w:rPr>
        <w:t xml:space="preserve">Figure 1: </w:t>
      </w:r>
      <w:r>
        <w:rPr>
          <w:rFonts w:asciiTheme="minorHAnsi" w:hAnsiTheme="minorHAnsi"/>
          <w:b/>
          <w:sz w:val="18"/>
          <w:szCs w:val="18"/>
        </w:rPr>
        <w:t>PIPE$S Framework for assets</w:t>
      </w:r>
    </w:p>
    <w:p w:rsidR="0066491E" w:rsidRPr="0066491E" w:rsidRDefault="0066491E" w:rsidP="0066491E">
      <w:pPr>
        <w:pStyle w:val="Body"/>
        <w:rPr>
          <w:rFonts w:asciiTheme="minorHAnsi" w:hAnsiTheme="minorHAnsi"/>
        </w:rPr>
      </w:pPr>
      <w:r w:rsidRPr="0066491E">
        <w:rPr>
          <w:rFonts w:asciiTheme="minorHAnsi" w:hAnsiTheme="minorHAnsi"/>
        </w:rPr>
        <w:t>We then identified priorities for protection</w:t>
      </w:r>
      <w:r w:rsidR="00B55D81">
        <w:rPr>
          <w:rFonts w:asciiTheme="minorHAnsi" w:hAnsiTheme="minorHAnsi"/>
        </w:rPr>
        <w:t xml:space="preserve"> (Figure 2)</w:t>
      </w:r>
      <w:r w:rsidRPr="0066491E">
        <w:rPr>
          <w:rFonts w:asciiTheme="minorHAnsi" w:hAnsiTheme="minorHAnsi"/>
        </w:rPr>
        <w:t xml:space="preserve"> and developed our fuel management strategy in partnership with emergency service agencies and stakeholders from across our community, including the Internal Working Group and Landscape Reference Group.</w:t>
      </w:r>
    </w:p>
    <w:p w:rsidR="0066491E" w:rsidRPr="0066491E" w:rsidRDefault="0066491E" w:rsidP="0066491E">
      <w:pPr>
        <w:pStyle w:val="Body"/>
        <w:rPr>
          <w:rFonts w:asciiTheme="minorHAnsi" w:hAnsiTheme="minorHAnsi"/>
        </w:rPr>
      </w:pPr>
      <w:r w:rsidRPr="0066491E">
        <w:rPr>
          <w:rFonts w:asciiTheme="minorHAnsi" w:hAnsiTheme="minorHAnsi"/>
        </w:rPr>
        <w:t xml:space="preserve">Our strategy is based on how we can reduce bushfire risk to the priority assets. Consultation will now widen to include more stakeholders and community. </w:t>
      </w:r>
    </w:p>
    <w:p w:rsidR="0066491E" w:rsidRPr="0066491E" w:rsidRDefault="0066491E" w:rsidP="0066491E">
      <w:pPr>
        <w:pStyle w:val="A3HE"/>
      </w:pPr>
      <w:r w:rsidRPr="0066491E">
        <w:lastRenderedPageBreak/>
        <w:t>The</w:t>
      </w:r>
      <w:r>
        <w:t xml:space="preserve"> asset categories identified as </w:t>
      </w:r>
      <w:r w:rsidRPr="0066491E">
        <w:t>priorities are</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Life and property (address points)</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Ecosystem resilience</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Utility Infrastructure</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Utility networks</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Communication infrastructure</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Emergency facilities</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Emergency infrastructure</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Nationally important transport links</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Community meeting places</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Habitat for Selected Priority Species - Flora</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Habitat for Selected Priority Species - Fauna</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Listed Community - Fire Sensitive</w:t>
      </w:r>
    </w:p>
    <w:p w:rsidR="0066491E" w:rsidRPr="0066491E" w:rsidRDefault="0066491E" w:rsidP="0066491E">
      <w:pPr>
        <w:pStyle w:val="Body"/>
        <w:numPr>
          <w:ilvl w:val="0"/>
          <w:numId w:val="10"/>
        </w:numPr>
        <w:spacing w:after="0" w:line="240" w:lineRule="auto"/>
        <w:rPr>
          <w:rFonts w:asciiTheme="minorHAnsi" w:hAnsiTheme="minorHAnsi"/>
          <w:sz w:val="18"/>
          <w:szCs w:val="18"/>
        </w:rPr>
      </w:pPr>
      <w:r w:rsidRPr="0066491E">
        <w:rPr>
          <w:rFonts w:asciiTheme="minorHAnsi" w:hAnsiTheme="minorHAnsi"/>
          <w:sz w:val="18"/>
          <w:szCs w:val="18"/>
        </w:rPr>
        <w:t>Water Supply Catchment - high value areas</w:t>
      </w:r>
    </w:p>
    <w:p w:rsidR="008A6888" w:rsidRDefault="0066491E" w:rsidP="0066491E">
      <w:pPr>
        <w:pStyle w:val="Body"/>
        <w:numPr>
          <w:ilvl w:val="0"/>
          <w:numId w:val="10"/>
        </w:numPr>
        <w:spacing w:after="0" w:line="240" w:lineRule="auto"/>
        <w:rPr>
          <w:rFonts w:asciiTheme="minorHAnsi" w:hAnsiTheme="minorHAnsi"/>
        </w:rPr>
      </w:pPr>
      <w:r w:rsidRPr="0066491E">
        <w:rPr>
          <w:rFonts w:asciiTheme="minorHAnsi" w:hAnsiTheme="minorHAnsi"/>
          <w:sz w:val="18"/>
          <w:szCs w:val="18"/>
        </w:rPr>
        <w:t>Camping assets</w:t>
      </w:r>
      <w:r w:rsidR="00D83765" w:rsidRPr="0066491E">
        <w:rPr>
          <w:rFonts w:asciiTheme="minorHAnsi" w:hAnsiTheme="minorHAnsi"/>
        </w:rPr>
        <w:t>is better when fuels are managed</w:t>
      </w:r>
      <w:r w:rsidR="008A6888" w:rsidRPr="0066491E">
        <w:rPr>
          <w:rFonts w:asciiTheme="minorHAnsi" w:hAnsiTheme="minorHAnsi"/>
        </w:rPr>
        <w:t xml:space="preserve"> on both public and private land.</w:t>
      </w:r>
    </w:p>
    <w:p w:rsidR="00B55D81" w:rsidRDefault="00B55D81" w:rsidP="00B55D81">
      <w:pPr>
        <w:pStyle w:val="Body"/>
        <w:spacing w:after="0" w:line="240" w:lineRule="auto"/>
        <w:rPr>
          <w:rFonts w:asciiTheme="minorHAnsi" w:hAnsiTheme="minorHAnsi"/>
        </w:rPr>
      </w:pPr>
    </w:p>
    <w:p w:rsidR="00D83765" w:rsidRDefault="008067D8" w:rsidP="0066491E">
      <w:pPr>
        <w:pStyle w:val="Body"/>
        <w:spacing w:after="0"/>
        <w:rPr>
          <w:rFonts w:asciiTheme="minorHAnsi" w:hAnsiTheme="minorHAnsi"/>
        </w:rPr>
      </w:pPr>
      <w:r w:rsidRPr="008067D8">
        <w:rPr>
          <w:rFonts w:asciiTheme="minorHAnsi" w:hAnsiTheme="minorHAnsi"/>
          <w:noProof/>
        </w:rPr>
        <w:drawing>
          <wp:inline distT="0" distB="0" distL="0" distR="0" wp14:anchorId="45472578" wp14:editId="55754F93">
            <wp:extent cx="2970530" cy="2208281"/>
            <wp:effectExtent l="19050" t="0" r="127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530" cy="2208281"/>
                    </a:xfrm>
                    <a:prstGeom prst="rect">
                      <a:avLst/>
                    </a:prstGeom>
                    <a:noFill/>
                    <a:ln>
                      <a:noFill/>
                    </a:ln>
                  </pic:spPr>
                </pic:pic>
              </a:graphicData>
            </a:graphic>
          </wp:inline>
        </w:drawing>
      </w:r>
    </w:p>
    <w:p w:rsidR="00B55D81" w:rsidRDefault="00B55D81" w:rsidP="00B55D81">
      <w:pPr>
        <w:pStyle w:val="Body"/>
        <w:jc w:val="center"/>
        <w:rPr>
          <w:rFonts w:asciiTheme="minorHAnsi" w:hAnsiTheme="minorHAnsi"/>
          <w:b/>
          <w:sz w:val="18"/>
          <w:szCs w:val="18"/>
        </w:rPr>
      </w:pPr>
      <w:r>
        <w:rPr>
          <w:rFonts w:asciiTheme="minorHAnsi" w:hAnsiTheme="minorHAnsi"/>
          <w:b/>
          <w:sz w:val="18"/>
          <w:szCs w:val="18"/>
        </w:rPr>
        <w:t>Figure 2</w:t>
      </w:r>
      <w:r w:rsidRPr="002455DE">
        <w:rPr>
          <w:rFonts w:asciiTheme="minorHAnsi" w:hAnsiTheme="minorHAnsi"/>
          <w:b/>
          <w:sz w:val="18"/>
          <w:szCs w:val="18"/>
        </w:rPr>
        <w:t xml:space="preserve">: </w:t>
      </w:r>
      <w:r>
        <w:rPr>
          <w:rFonts w:asciiTheme="minorHAnsi" w:hAnsiTheme="minorHAnsi"/>
          <w:b/>
          <w:sz w:val="18"/>
          <w:szCs w:val="18"/>
        </w:rPr>
        <w:t>Priority asset locations</w:t>
      </w:r>
    </w:p>
    <w:p w:rsidR="00B55D81" w:rsidRDefault="00B55D81" w:rsidP="0066491E">
      <w:pPr>
        <w:pStyle w:val="Body"/>
        <w:spacing w:after="0"/>
        <w:rPr>
          <w:rFonts w:asciiTheme="minorHAnsi" w:hAnsiTheme="minorHAnsi"/>
        </w:rPr>
      </w:pPr>
    </w:p>
    <w:p w:rsidR="00BF1FB7" w:rsidRDefault="00BF1FB7" w:rsidP="008A6888">
      <w:pPr>
        <w:pStyle w:val="Body"/>
        <w:rPr>
          <w:rFonts w:asciiTheme="minorHAnsi" w:hAnsiTheme="minorHAnsi"/>
        </w:rPr>
        <w:sectPr w:rsidR="00BF1FB7" w:rsidSect="00655526">
          <w:headerReference w:type="default" r:id="rId13"/>
          <w:pgSz w:w="11906" w:h="16838"/>
          <w:pgMar w:top="1254" w:right="991" w:bottom="851" w:left="851" w:header="142" w:footer="708" w:gutter="0"/>
          <w:cols w:num="2" w:space="708"/>
          <w:docGrid w:linePitch="360"/>
        </w:sectPr>
      </w:pPr>
    </w:p>
    <w:p w:rsidR="00B55D81" w:rsidRDefault="00B55D81" w:rsidP="008A6888">
      <w:pPr>
        <w:pStyle w:val="Body"/>
        <w:rPr>
          <w:rFonts w:asciiTheme="minorHAnsi" w:hAnsiTheme="minorHAnsi"/>
        </w:rPr>
        <w:sectPr w:rsidR="00B55D81" w:rsidSect="00985859">
          <w:type w:val="continuous"/>
          <w:pgSz w:w="11906" w:h="16838"/>
          <w:pgMar w:top="1254" w:right="991" w:bottom="851" w:left="851" w:header="142" w:footer="708" w:gutter="0"/>
          <w:cols w:num="2" w:space="708"/>
          <w:docGrid w:linePitch="360"/>
        </w:sectPr>
      </w:pPr>
    </w:p>
    <w:p w:rsidR="00D83765" w:rsidRDefault="00BF1FB7" w:rsidP="00995D6E">
      <w:pPr>
        <w:rPr>
          <w:rFonts w:cs="Arial"/>
          <w:sz w:val="20"/>
        </w:rPr>
      </w:pPr>
      <w:r>
        <w:rPr>
          <w:rFonts w:cs="Arial"/>
          <w:noProof/>
          <w:sz w:val="18"/>
        </w:rPr>
        <w:lastRenderedPageBreak/>
        <mc:AlternateContent>
          <mc:Choice Requires="wps">
            <w:drawing>
              <wp:anchor distT="0" distB="0" distL="114300" distR="114300" simplePos="0" relativeHeight="251667456" behindDoc="0" locked="0" layoutInCell="1" allowOverlap="1">
                <wp:simplePos x="0" y="0"/>
                <wp:positionH relativeFrom="column">
                  <wp:posOffset>-74295</wp:posOffset>
                </wp:positionH>
                <wp:positionV relativeFrom="paragraph">
                  <wp:posOffset>829945</wp:posOffset>
                </wp:positionV>
                <wp:extent cx="6777990" cy="1807210"/>
                <wp:effectExtent l="0" t="0" r="444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180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56" w:type="dxa"/>
                              <w:tblLook w:val="01E0" w:firstRow="1" w:lastRow="1" w:firstColumn="1" w:lastColumn="1" w:noHBand="0" w:noVBand="0"/>
                            </w:tblPr>
                            <w:tblGrid>
                              <w:gridCol w:w="5228"/>
                              <w:gridCol w:w="5228"/>
                            </w:tblGrid>
                            <w:tr w:rsidR="00B55D81" w:rsidRPr="00D75CC5" w:rsidTr="00E55617">
                              <w:trPr>
                                <w:trHeight w:val="2554"/>
                              </w:trPr>
                              <w:tc>
                                <w:tcPr>
                                  <w:tcW w:w="5228" w:type="dxa"/>
                                  <w:hideMark/>
                                </w:tcPr>
                                <w:p w:rsidR="00B55D81" w:rsidRPr="00D75CC5" w:rsidRDefault="00B55D81" w:rsidP="00D921C7">
                                  <w:pPr>
                                    <w:pStyle w:val="ImprintText"/>
                                    <w:rPr>
                                      <w:rFonts w:ascii="Arial" w:hAnsi="Arial"/>
                                    </w:rPr>
                                  </w:pPr>
                                  <w:r w:rsidRPr="00D75CC5">
                                    <w:rPr>
                                      <w:rFonts w:ascii="Arial" w:hAnsi="Arial"/>
                                    </w:rPr>
                                    <w:t xml:space="preserve">© The State of Victoria Department of Environment, Land, Water and </w:t>
                                  </w:r>
                                  <w:r w:rsidRPr="00D75CC5">
                                    <w:rPr>
                                      <w:rFonts w:ascii="Arial" w:hAnsi="Arial"/>
                                    </w:rPr>
                                    <w:br/>
                                    <w:t>Planning 2015</w:t>
                                  </w:r>
                                </w:p>
                                <w:p w:rsidR="00B55D81" w:rsidRPr="00D75CC5" w:rsidRDefault="00B55D81" w:rsidP="00D921C7">
                                  <w:pPr>
                                    <w:pStyle w:val="ImprintText"/>
                                    <w:rPr>
                                      <w:rFonts w:ascii="Arial" w:hAnsi="Arial"/>
                                    </w:rPr>
                                  </w:pPr>
                                  <w:r w:rsidRPr="00D75CC5">
                                    <w:rPr>
                                      <w:rFonts w:ascii="Arial" w:hAnsi="Arial"/>
                                      <w:noProof/>
                                    </w:rPr>
                                    <w:drawing>
                                      <wp:inline distT="0" distB="0" distL="0" distR="0">
                                        <wp:extent cx="762000" cy="2667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pic:spPr>
                                            </pic:pic>
                                          </a:graphicData>
                                        </a:graphic>
                                      </wp:inline>
                                    </w:drawing>
                                  </w:r>
                                  <w:r w:rsidRPr="00D75CC5">
                                    <w:rPr>
                                      <w:rFonts w:ascii="Arial" w:hAnsi="Arial"/>
                                    </w:rPr>
                                    <w:t xml:space="preserve">This work is licensed under a </w:t>
                                  </w:r>
                                  <w:hyperlink r:id="rId15" w:history="1">
                                    <w:r w:rsidRPr="00D75CC5">
                                      <w:rPr>
                                        <w:rStyle w:val="Hyperlink"/>
                                        <w:rFonts w:ascii="Arial" w:hAnsi="Arial"/>
                                      </w:rPr>
                                      <w:t>Creative Commons Attribution 4.0 International licence</w:t>
                                    </w:r>
                                  </w:hyperlink>
                                  <w:r w:rsidRPr="00D75CC5">
                                    <w:rPr>
                                      <w:rFonts w:ascii="Arial" w:hAnsi="Arial"/>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6" w:history="1">
                                    <w:r w:rsidRPr="00D75CC5">
                                      <w:rPr>
                                        <w:rStyle w:val="Hyperlink"/>
                                        <w:rFonts w:ascii="Arial" w:hAnsi="Arial"/>
                                      </w:rPr>
                                      <w:t>http://creativecommons.org/licenses/by/4.0/</w:t>
                                    </w:r>
                                  </w:hyperlink>
                                </w:p>
                                <w:p w:rsidR="00B55D81" w:rsidRDefault="00B55D81" w:rsidP="00B55D81">
                                  <w:pPr>
                                    <w:pStyle w:val="ImprintText"/>
                                    <w:spacing w:after="0"/>
                                  </w:pPr>
                                  <w:bookmarkStart w:id="0" w:name="_GoBack"/>
                                  <w:r w:rsidRPr="00034034">
                                    <w:rPr>
                                      <w:rFonts w:asciiTheme="minorHAnsi" w:hAnsiTheme="minorHAnsi"/>
                                    </w:rPr>
                                    <w:t xml:space="preserve">ISBN </w:t>
                                  </w:r>
                                  <w:r>
                                    <w:t xml:space="preserve">978-1-74146-911-0 </w:t>
                                  </w:r>
                                  <w:bookmarkEnd w:id="0"/>
                                  <w:r>
                                    <w:t>(print)</w:t>
                                  </w:r>
                                </w:p>
                                <w:p w:rsidR="00B55D81" w:rsidRPr="00D75CC5" w:rsidRDefault="00B55D81" w:rsidP="00B55D81">
                                  <w:pPr>
                                    <w:pStyle w:val="ImprintText"/>
                                    <w:spacing w:after="0"/>
                                    <w:rPr>
                                      <w:rFonts w:ascii="Arial" w:hAnsi="Arial"/>
                                      <w:b/>
                                      <w:bCs/>
                                    </w:rPr>
                                  </w:pPr>
                                  <w:r>
                                    <w:t xml:space="preserve">         978-1-74146-912-7(pdf)</w:t>
                                  </w:r>
                                </w:p>
                                <w:p w:rsidR="00B55D81" w:rsidRPr="00D75CC5" w:rsidRDefault="00B55D81" w:rsidP="00E10CD4">
                                  <w:pPr>
                                    <w:pStyle w:val="ImprintText"/>
                                    <w:spacing w:after="0"/>
                                    <w:rPr>
                                      <w:rFonts w:ascii="Arial" w:hAnsi="Arial"/>
                                      <w:b/>
                                      <w:bCs/>
                                    </w:rPr>
                                  </w:pPr>
                                </w:p>
                              </w:tc>
                              <w:tc>
                                <w:tcPr>
                                  <w:tcW w:w="5228" w:type="dxa"/>
                                  <w:hideMark/>
                                </w:tcPr>
                                <w:p w:rsidR="00B55D81" w:rsidRPr="00D75CC5" w:rsidRDefault="00B55D81" w:rsidP="00D921C7">
                                  <w:pPr>
                                    <w:pStyle w:val="ImprintText"/>
                                    <w:rPr>
                                      <w:rFonts w:ascii="Arial" w:hAnsi="Arial"/>
                                    </w:rPr>
                                  </w:pPr>
                                  <w:r w:rsidRPr="00D75CC5">
                                    <w:rPr>
                                      <w:rFonts w:ascii="Arial" w:hAnsi="Arial"/>
                                      <w:b/>
                                      <w:bCs/>
                                    </w:rPr>
                                    <w:t>Disclaimer</w:t>
                                  </w:r>
                                  <w:r w:rsidRPr="00D75CC5">
                                    <w:rPr>
                                      <w:rFonts w:ascii="Arial" w:hAnsi="Arial"/>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B55D81" w:rsidRPr="00D75CC5" w:rsidRDefault="00B55D81" w:rsidP="00D921C7">
                                  <w:pPr>
                                    <w:pStyle w:val="ImprintText"/>
                                    <w:spacing w:after="0"/>
                                    <w:rPr>
                                      <w:rFonts w:ascii="Arial" w:hAnsi="Arial"/>
                                      <w:b/>
                                      <w:bCs/>
                                      <w:szCs w:val="16"/>
                                    </w:rPr>
                                  </w:pPr>
                                  <w:r w:rsidRPr="00D75CC5">
                                    <w:rPr>
                                      <w:rFonts w:ascii="Arial" w:hAnsi="Arial"/>
                                      <w:b/>
                                      <w:bCs/>
                                      <w:szCs w:val="16"/>
                                    </w:rPr>
                                    <w:t>Accessibility</w:t>
                                  </w:r>
                                </w:p>
                                <w:p w:rsidR="00B55D81" w:rsidRPr="00D75CC5" w:rsidRDefault="00B55D81" w:rsidP="00D921C7">
                                  <w:pPr>
                                    <w:pStyle w:val="ImprintText"/>
                                    <w:spacing w:after="0"/>
                                    <w:rPr>
                                      <w:rFonts w:ascii="Arial" w:hAnsi="Arial"/>
                                      <w:sz w:val="28"/>
                                      <w:szCs w:val="28"/>
                                    </w:rPr>
                                  </w:pPr>
                                  <w:r w:rsidRPr="00D75CC5">
                                    <w:rPr>
                                      <w:rFonts w:ascii="Arial" w:hAnsi="Arial"/>
                                      <w:szCs w:val="16"/>
                                    </w:rPr>
                                    <w:t xml:space="preserve">If you would like to receive this publication in an alternative format, please telephone DELWP Customer Service Centre 136 186, email </w:t>
                                  </w:r>
                                  <w:hyperlink r:id="rId17" w:history="1">
                                    <w:r w:rsidRPr="00D75CC5">
                                      <w:rPr>
                                        <w:rStyle w:val="Hyperlink"/>
                                        <w:rFonts w:ascii="Arial" w:hAnsi="Arial"/>
                                        <w:szCs w:val="16"/>
                                      </w:rPr>
                                      <w:t>customer.service@delwp.vic.gov.au</w:t>
                                    </w:r>
                                  </w:hyperlink>
                                  <w:r w:rsidRPr="00D75CC5">
                                    <w:rPr>
                                      <w:rFonts w:ascii="Arial" w:hAnsi="Arial"/>
                                      <w:szCs w:val="16"/>
                                    </w:rPr>
                                    <w:t xml:space="preserve">, via the National Relay Service on 133 677 </w:t>
                                  </w:r>
                                  <w:hyperlink r:id="rId18" w:history="1">
                                    <w:r w:rsidRPr="00D75CC5">
                                      <w:rPr>
                                        <w:rStyle w:val="Hyperlink"/>
                                        <w:rFonts w:ascii="Arial" w:hAnsi="Arial"/>
                                        <w:szCs w:val="16"/>
                                      </w:rPr>
                                      <w:t>www.relayservice.com.au</w:t>
                                    </w:r>
                                  </w:hyperlink>
                                  <w:r w:rsidRPr="00D75CC5">
                                    <w:rPr>
                                      <w:rFonts w:ascii="Arial" w:hAnsi="Arial"/>
                                      <w:szCs w:val="16"/>
                                    </w:rPr>
                                    <w:t>. This document is also available by emailing alpine.greatergippsland@delwp.vic.gov.au.</w:t>
                                  </w:r>
                                </w:p>
                              </w:tc>
                            </w:tr>
                          </w:tbl>
                          <w:p w:rsidR="00B55D81" w:rsidRPr="00D75CC5" w:rsidRDefault="00B55D81" w:rsidP="00CE4F57">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85pt;margin-top:65.35pt;width:533.7pt;height:14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KtQIAALo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" filled="f" stroked="f">
                <v:textbox>
                  <w:txbxContent>
                    <w:tbl>
                      <w:tblPr>
                        <w:tblW w:w="10456" w:type="dxa"/>
                        <w:tblLook w:val="01E0" w:firstRow="1" w:lastRow="1" w:firstColumn="1" w:lastColumn="1" w:noHBand="0" w:noVBand="0"/>
                      </w:tblPr>
                      <w:tblGrid>
                        <w:gridCol w:w="5228"/>
                        <w:gridCol w:w="5228"/>
                      </w:tblGrid>
                      <w:tr w:rsidR="00B55D81" w:rsidRPr="00D75CC5" w:rsidTr="00E55617">
                        <w:trPr>
                          <w:trHeight w:val="2554"/>
                        </w:trPr>
                        <w:tc>
                          <w:tcPr>
                            <w:tcW w:w="5228" w:type="dxa"/>
                            <w:hideMark/>
                          </w:tcPr>
                          <w:p w:rsidR="00B55D81" w:rsidRPr="00D75CC5" w:rsidRDefault="00B55D81" w:rsidP="00D921C7">
                            <w:pPr>
                              <w:pStyle w:val="ImprintText"/>
                              <w:rPr>
                                <w:rFonts w:ascii="Arial" w:hAnsi="Arial"/>
                              </w:rPr>
                            </w:pPr>
                            <w:r w:rsidRPr="00D75CC5">
                              <w:rPr>
                                <w:rFonts w:ascii="Arial" w:hAnsi="Arial"/>
                              </w:rPr>
                              <w:t xml:space="preserve">© The State of Victoria Department of Environment, Land, Water and </w:t>
                            </w:r>
                            <w:r w:rsidRPr="00D75CC5">
                              <w:rPr>
                                <w:rFonts w:ascii="Arial" w:hAnsi="Arial"/>
                              </w:rPr>
                              <w:br/>
                              <w:t>Planning 2015</w:t>
                            </w:r>
                          </w:p>
                          <w:p w:rsidR="00B55D81" w:rsidRPr="00D75CC5" w:rsidRDefault="00B55D81" w:rsidP="00D921C7">
                            <w:pPr>
                              <w:pStyle w:val="ImprintText"/>
                              <w:rPr>
                                <w:rFonts w:ascii="Arial" w:hAnsi="Arial"/>
                              </w:rPr>
                            </w:pPr>
                            <w:r w:rsidRPr="00D75CC5">
                              <w:rPr>
                                <w:rFonts w:ascii="Arial" w:hAnsi="Arial"/>
                                <w:noProof/>
                              </w:rPr>
                              <w:drawing>
                                <wp:inline distT="0" distB="0" distL="0" distR="0">
                                  <wp:extent cx="762000" cy="26670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pic:spPr>
                                      </pic:pic>
                                    </a:graphicData>
                                  </a:graphic>
                                </wp:inline>
                              </w:drawing>
                            </w:r>
                            <w:r w:rsidRPr="00D75CC5">
                              <w:rPr>
                                <w:rFonts w:ascii="Arial" w:hAnsi="Arial"/>
                              </w:rPr>
                              <w:t xml:space="preserve">This work is licensed under a </w:t>
                            </w:r>
                            <w:hyperlink r:id="rId19" w:history="1">
                              <w:r w:rsidRPr="00D75CC5">
                                <w:rPr>
                                  <w:rStyle w:val="Hyperlink"/>
                                  <w:rFonts w:ascii="Arial" w:hAnsi="Arial"/>
                                </w:rPr>
                                <w:t>Creative Commons Attribution 4.0 International licence</w:t>
                              </w:r>
                            </w:hyperlink>
                            <w:r w:rsidRPr="00D75CC5">
                              <w:rPr>
                                <w:rFonts w:ascii="Arial" w:hAnsi="Arial"/>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0" w:history="1">
                              <w:r w:rsidRPr="00D75CC5">
                                <w:rPr>
                                  <w:rStyle w:val="Hyperlink"/>
                                  <w:rFonts w:ascii="Arial" w:hAnsi="Arial"/>
                                </w:rPr>
                                <w:t>http://creativecommons.org/licenses/by/4.0/</w:t>
                              </w:r>
                            </w:hyperlink>
                          </w:p>
                          <w:p w:rsidR="00B55D81" w:rsidRDefault="00B55D81" w:rsidP="00B55D81">
                            <w:pPr>
                              <w:pStyle w:val="ImprintText"/>
                              <w:spacing w:after="0"/>
                            </w:pPr>
                            <w:bookmarkStart w:id="1" w:name="_GoBack"/>
                            <w:r w:rsidRPr="00034034">
                              <w:rPr>
                                <w:rFonts w:asciiTheme="minorHAnsi" w:hAnsiTheme="minorHAnsi"/>
                              </w:rPr>
                              <w:t xml:space="preserve">ISBN </w:t>
                            </w:r>
                            <w:r>
                              <w:t xml:space="preserve">978-1-74146-911-0 </w:t>
                            </w:r>
                            <w:bookmarkEnd w:id="1"/>
                            <w:r>
                              <w:t>(print)</w:t>
                            </w:r>
                          </w:p>
                          <w:p w:rsidR="00B55D81" w:rsidRPr="00D75CC5" w:rsidRDefault="00B55D81" w:rsidP="00B55D81">
                            <w:pPr>
                              <w:pStyle w:val="ImprintText"/>
                              <w:spacing w:after="0"/>
                              <w:rPr>
                                <w:rFonts w:ascii="Arial" w:hAnsi="Arial"/>
                                <w:b/>
                                <w:bCs/>
                              </w:rPr>
                            </w:pPr>
                            <w:r>
                              <w:t xml:space="preserve">         978-1-74146-912-7(pdf)</w:t>
                            </w:r>
                          </w:p>
                          <w:p w:rsidR="00B55D81" w:rsidRPr="00D75CC5" w:rsidRDefault="00B55D81" w:rsidP="00E10CD4">
                            <w:pPr>
                              <w:pStyle w:val="ImprintText"/>
                              <w:spacing w:after="0"/>
                              <w:rPr>
                                <w:rFonts w:ascii="Arial" w:hAnsi="Arial"/>
                                <w:b/>
                                <w:bCs/>
                              </w:rPr>
                            </w:pPr>
                          </w:p>
                        </w:tc>
                        <w:tc>
                          <w:tcPr>
                            <w:tcW w:w="5228" w:type="dxa"/>
                            <w:hideMark/>
                          </w:tcPr>
                          <w:p w:rsidR="00B55D81" w:rsidRPr="00D75CC5" w:rsidRDefault="00B55D81" w:rsidP="00D921C7">
                            <w:pPr>
                              <w:pStyle w:val="ImprintText"/>
                              <w:rPr>
                                <w:rFonts w:ascii="Arial" w:hAnsi="Arial"/>
                              </w:rPr>
                            </w:pPr>
                            <w:r w:rsidRPr="00D75CC5">
                              <w:rPr>
                                <w:rFonts w:ascii="Arial" w:hAnsi="Arial"/>
                                <w:b/>
                                <w:bCs/>
                              </w:rPr>
                              <w:t>Disclaimer</w:t>
                            </w:r>
                            <w:r w:rsidRPr="00D75CC5">
                              <w:rPr>
                                <w:rFonts w:ascii="Arial" w:hAnsi="Arial"/>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B55D81" w:rsidRPr="00D75CC5" w:rsidRDefault="00B55D81" w:rsidP="00D921C7">
                            <w:pPr>
                              <w:pStyle w:val="ImprintText"/>
                              <w:spacing w:after="0"/>
                              <w:rPr>
                                <w:rFonts w:ascii="Arial" w:hAnsi="Arial"/>
                                <w:b/>
                                <w:bCs/>
                                <w:szCs w:val="16"/>
                              </w:rPr>
                            </w:pPr>
                            <w:r w:rsidRPr="00D75CC5">
                              <w:rPr>
                                <w:rFonts w:ascii="Arial" w:hAnsi="Arial"/>
                                <w:b/>
                                <w:bCs/>
                                <w:szCs w:val="16"/>
                              </w:rPr>
                              <w:t>Accessibility</w:t>
                            </w:r>
                          </w:p>
                          <w:p w:rsidR="00B55D81" w:rsidRPr="00D75CC5" w:rsidRDefault="00B55D81" w:rsidP="00D921C7">
                            <w:pPr>
                              <w:pStyle w:val="ImprintText"/>
                              <w:spacing w:after="0"/>
                              <w:rPr>
                                <w:rFonts w:ascii="Arial" w:hAnsi="Arial"/>
                                <w:sz w:val="28"/>
                                <w:szCs w:val="28"/>
                              </w:rPr>
                            </w:pPr>
                            <w:r w:rsidRPr="00D75CC5">
                              <w:rPr>
                                <w:rFonts w:ascii="Arial" w:hAnsi="Arial"/>
                                <w:szCs w:val="16"/>
                              </w:rPr>
                              <w:t xml:space="preserve">If you would like to receive this publication in an alternative format, please telephone DELWP Customer Service Centre 136 186, email </w:t>
                            </w:r>
                            <w:hyperlink r:id="rId21" w:history="1">
                              <w:r w:rsidRPr="00D75CC5">
                                <w:rPr>
                                  <w:rStyle w:val="Hyperlink"/>
                                  <w:rFonts w:ascii="Arial" w:hAnsi="Arial"/>
                                  <w:szCs w:val="16"/>
                                </w:rPr>
                                <w:t>customer.service@delwp.vic.gov.au</w:t>
                              </w:r>
                            </w:hyperlink>
                            <w:r w:rsidRPr="00D75CC5">
                              <w:rPr>
                                <w:rFonts w:ascii="Arial" w:hAnsi="Arial"/>
                                <w:szCs w:val="16"/>
                              </w:rPr>
                              <w:t xml:space="preserve">, via the National Relay Service on 133 677 </w:t>
                            </w:r>
                            <w:hyperlink r:id="rId22" w:history="1">
                              <w:r w:rsidRPr="00D75CC5">
                                <w:rPr>
                                  <w:rStyle w:val="Hyperlink"/>
                                  <w:rFonts w:ascii="Arial" w:hAnsi="Arial"/>
                                  <w:szCs w:val="16"/>
                                </w:rPr>
                                <w:t>www.relayservice.com.au</w:t>
                              </w:r>
                            </w:hyperlink>
                            <w:r w:rsidRPr="00D75CC5">
                              <w:rPr>
                                <w:rFonts w:ascii="Arial" w:hAnsi="Arial"/>
                                <w:szCs w:val="16"/>
                              </w:rPr>
                              <w:t>. This document is also available by emailing alpine.greatergippsland@delwp.vic.gov.au.</w:t>
                            </w:r>
                          </w:p>
                        </w:tc>
                      </w:tr>
                    </w:tbl>
                    <w:p w:rsidR="00B55D81" w:rsidRPr="00D75CC5" w:rsidRDefault="00B55D81" w:rsidP="00CE4F57">
                      <w:pPr>
                        <w:rPr>
                          <w:rFonts w:ascii="Arial" w:hAnsi="Arial" w:cs="Arial"/>
                        </w:rPr>
                      </w:pPr>
                    </w:p>
                  </w:txbxContent>
                </v:textbox>
              </v:shape>
            </w:pict>
          </mc:Fallback>
        </mc:AlternateContent>
      </w:r>
      <w:r w:rsidR="00CE4F57" w:rsidRPr="00CD274F">
        <w:rPr>
          <w:rFonts w:cs="Arial"/>
          <w:sz w:val="20"/>
        </w:rPr>
        <w:t>For further information about managing bushfire risk in th</w:t>
      </w:r>
      <w:r w:rsidR="00074E0E" w:rsidRPr="00CD274F">
        <w:rPr>
          <w:rFonts w:cs="Arial"/>
          <w:sz w:val="20"/>
        </w:rPr>
        <w:t>e Alpine and Greater Gippsland b</w:t>
      </w:r>
      <w:r w:rsidR="00CE4F57" w:rsidRPr="00CD274F">
        <w:rPr>
          <w:rFonts w:cs="Arial"/>
          <w:sz w:val="20"/>
        </w:rPr>
        <w:t xml:space="preserve">ushfire </w:t>
      </w:r>
      <w:r w:rsidR="00074E0E" w:rsidRPr="00CD274F">
        <w:rPr>
          <w:rFonts w:cs="Arial"/>
          <w:sz w:val="20"/>
        </w:rPr>
        <w:t>r</w:t>
      </w:r>
      <w:r w:rsidR="00CE4F57" w:rsidRPr="00CD274F">
        <w:rPr>
          <w:rFonts w:cs="Arial"/>
          <w:sz w:val="20"/>
        </w:rPr>
        <w:t xml:space="preserve">isk </w:t>
      </w:r>
      <w:r w:rsidR="00074E0E" w:rsidRPr="00CD274F">
        <w:rPr>
          <w:rFonts w:cs="Arial"/>
          <w:sz w:val="20"/>
        </w:rPr>
        <w:t>l</w:t>
      </w:r>
      <w:r w:rsidR="00CE4F57" w:rsidRPr="00CD274F">
        <w:rPr>
          <w:rFonts w:cs="Arial"/>
          <w:sz w:val="20"/>
        </w:rPr>
        <w:t xml:space="preserve">andscape email </w:t>
      </w:r>
      <w:hyperlink r:id="rId23" w:history="1">
        <w:r w:rsidR="00CE4F57" w:rsidRPr="00CD274F">
          <w:rPr>
            <w:rStyle w:val="Hyperlink"/>
            <w:rFonts w:cs="Arial"/>
            <w:i/>
            <w:sz w:val="20"/>
          </w:rPr>
          <w:t>alpine.greatergippsland@delwp.vic.gov.au</w:t>
        </w:r>
      </w:hyperlink>
      <w:r w:rsidR="00CE4F57" w:rsidRPr="00CD274F">
        <w:rPr>
          <w:rFonts w:cs="Arial"/>
          <w:sz w:val="20"/>
        </w:rPr>
        <w:t>, or contact the Strategic Bushfire Management Program Manager on (03) 51520600.</w:t>
      </w:r>
    </w:p>
    <w:p w:rsidR="00BF1FB7" w:rsidRDefault="00BF1FB7" w:rsidP="00995D6E">
      <w:pPr>
        <w:rPr>
          <w:rFonts w:cs="Arial"/>
          <w:sz w:val="20"/>
        </w:rPr>
      </w:pPr>
    </w:p>
    <w:p w:rsidR="00BF1FB7" w:rsidRDefault="00BF1FB7" w:rsidP="00995D6E">
      <w:pPr>
        <w:rPr>
          <w:rFonts w:cs="Arial"/>
          <w:sz w:val="20"/>
        </w:rPr>
      </w:pPr>
    </w:p>
    <w:sectPr w:rsidR="00BF1FB7" w:rsidSect="00655526">
      <w:type w:val="continuous"/>
      <w:pgSz w:w="11906" w:h="16838"/>
      <w:pgMar w:top="1254" w:right="991" w:bottom="993" w:left="85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D81" w:rsidRPr="00FD25EC" w:rsidRDefault="00B55D81" w:rsidP="00CE4F57">
      <w:pPr>
        <w:spacing w:after="0" w:line="240" w:lineRule="auto"/>
        <w:rPr>
          <w:rFonts w:ascii="Calibri" w:hAnsi="Calibri" w:cs="Times New Roman"/>
        </w:rPr>
      </w:pPr>
      <w:r>
        <w:separator/>
      </w:r>
    </w:p>
  </w:endnote>
  <w:endnote w:type="continuationSeparator" w:id="0">
    <w:p w:rsidR="00B55D81" w:rsidRPr="00FD25EC" w:rsidRDefault="00B55D81" w:rsidP="00CE4F57">
      <w:pPr>
        <w:spacing w:after="0" w:line="240" w:lineRule="auto"/>
        <w:rPr>
          <w:rFonts w:ascii="Calibri" w:hAnsi="Calibri" w:cs="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81" w:rsidRPr="00CE4F57" w:rsidRDefault="00B55D81" w:rsidP="00CE4F57">
    <w:pPr>
      <w:pStyle w:val="Footer"/>
      <w:rPr>
        <w:sz w:val="20"/>
      </w:rPr>
    </w:pPr>
    <w:r w:rsidRPr="00CE4F57">
      <w:rPr>
        <w:noProof/>
        <w:sz w:val="20"/>
      </w:rPr>
      <w:drawing>
        <wp:anchor distT="0" distB="0" distL="114300" distR="114300" simplePos="0" relativeHeight="251657216" behindDoc="0" locked="0" layoutInCell="1" allowOverlap="1" wp14:anchorId="2AA59B8D" wp14:editId="2E4D4917">
          <wp:simplePos x="0" y="0"/>
          <wp:positionH relativeFrom="margin">
            <wp:posOffset>5156258</wp:posOffset>
          </wp:positionH>
          <wp:positionV relativeFrom="paragraph">
            <wp:posOffset>-193617</wp:posOffset>
          </wp:positionV>
          <wp:extent cx="1483648" cy="432262"/>
          <wp:effectExtent l="19050" t="0" r="2252"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3648" cy="432262"/>
                  </a:xfrm>
                  <a:prstGeom prst="rect">
                    <a:avLst/>
                  </a:prstGeom>
                  <a:noFill/>
                  <a:ln>
                    <a:noFill/>
                  </a:ln>
                </pic:spPr>
              </pic:pic>
            </a:graphicData>
          </a:graphic>
        </wp:anchor>
      </w:drawing>
    </w:r>
    <w:r>
      <w:rPr>
        <w:sz w:val="20"/>
      </w:rPr>
      <w:t>Page</w:t>
    </w:r>
    <w:r w:rsidRPr="00CE4F57">
      <w:rPr>
        <w:sz w:val="20"/>
      </w:rPr>
      <w:fldChar w:fldCharType="begin"/>
    </w:r>
    <w:r w:rsidRPr="00CE4F57">
      <w:rPr>
        <w:sz w:val="20"/>
      </w:rPr>
      <w:instrText xml:space="preserve"> PAGE   \* MERGEFORMAT </w:instrText>
    </w:r>
    <w:r w:rsidRPr="00CE4F57">
      <w:rPr>
        <w:sz w:val="20"/>
      </w:rPr>
      <w:fldChar w:fldCharType="separate"/>
    </w:r>
    <w:r w:rsidR="00BF1FB7">
      <w:rPr>
        <w:noProof/>
        <w:sz w:val="20"/>
      </w:rPr>
      <w:t>2</w:t>
    </w:r>
    <w:r w:rsidRPr="00CE4F57">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D81" w:rsidRPr="00FD25EC" w:rsidRDefault="00B55D81" w:rsidP="00CE4F57">
      <w:pPr>
        <w:spacing w:after="0" w:line="240" w:lineRule="auto"/>
        <w:rPr>
          <w:rFonts w:ascii="Calibri" w:hAnsi="Calibri" w:cs="Times New Roman"/>
        </w:rPr>
      </w:pPr>
      <w:r>
        <w:separator/>
      </w:r>
    </w:p>
  </w:footnote>
  <w:footnote w:type="continuationSeparator" w:id="0">
    <w:p w:rsidR="00B55D81" w:rsidRPr="00FD25EC" w:rsidRDefault="00B55D81" w:rsidP="00CE4F57">
      <w:pPr>
        <w:spacing w:after="0" w:line="240" w:lineRule="auto"/>
        <w:rPr>
          <w:rFonts w:ascii="Calibri" w:hAnsi="Calibri" w:cs="Times New Roman"/>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81" w:rsidRDefault="00B55D81" w:rsidP="00995D6E">
    <w:pPr>
      <w:pStyle w:val="CertHBWhite"/>
      <w:spacing w:line="360" w:lineRule="atLeast"/>
    </w:pPr>
    <w:r>
      <w:rPr>
        <w:noProof/>
      </w:rPr>
      <w:drawing>
        <wp:anchor distT="0" distB="0" distL="114300" distR="114300" simplePos="0" relativeHeight="251655168" behindDoc="1" locked="0" layoutInCell="1" allowOverlap="1" wp14:anchorId="167425B2" wp14:editId="00D6D0B2">
          <wp:simplePos x="0" y="0"/>
          <wp:positionH relativeFrom="page">
            <wp:posOffset>-1244485</wp:posOffset>
          </wp:positionH>
          <wp:positionV relativeFrom="paragraph">
            <wp:posOffset>-278823</wp:posOffset>
          </wp:positionV>
          <wp:extent cx="11036878" cy="1629295"/>
          <wp:effectExtent l="19050" t="0" r="0" b="0"/>
          <wp:wrapNone/>
          <wp:docPr id="3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878" cy="1629295"/>
                  </a:xfrm>
                  <a:prstGeom prst="rect">
                    <a:avLst/>
                  </a:prstGeom>
                  <a:noFill/>
                  <a:ln>
                    <a:noFill/>
                  </a:ln>
                </pic:spPr>
              </pic:pic>
            </a:graphicData>
          </a:graphic>
        </wp:anchor>
      </w:drawing>
    </w:r>
    <w:r>
      <w:t>4. Community values and assets</w:t>
    </w:r>
  </w:p>
  <w:p w:rsidR="00B55D81" w:rsidRDefault="00B55D81" w:rsidP="00995D6E">
    <w:pPr>
      <w:pStyle w:val="CertHBWhite"/>
      <w:spacing w:after="120" w:line="360" w:lineRule="atLeast"/>
      <w:rPr>
        <w:sz w:val="48"/>
        <w:szCs w:val="48"/>
      </w:rPr>
    </w:pPr>
    <w:r>
      <w:rPr>
        <w:sz w:val="48"/>
        <w:szCs w:val="48"/>
      </w:rPr>
      <w:t>Alpine and Greater Gippsland</w:t>
    </w:r>
  </w:p>
  <w:p w:rsidR="00B55D81" w:rsidRPr="00985859" w:rsidRDefault="00B55D81" w:rsidP="00995D6E">
    <w:pPr>
      <w:pStyle w:val="CertHBWhite"/>
      <w:spacing w:after="120" w:line="360" w:lineRule="atLeast"/>
      <w:rPr>
        <w:sz w:val="44"/>
        <w:szCs w:val="44"/>
      </w:rPr>
    </w:pPr>
    <w:r w:rsidRPr="00985859">
      <w:rPr>
        <w:sz w:val="44"/>
        <w:szCs w:val="44"/>
      </w:rPr>
      <w:t>Information for Communities</w:t>
    </w:r>
  </w:p>
  <w:p w:rsidR="00B55D81" w:rsidRPr="0066491E" w:rsidRDefault="00B55D81" w:rsidP="009E08E3">
    <w:pPr>
      <w:pStyle w:val="A3HE"/>
      <w:spacing w:before="240"/>
      <w:ind w:right="6379"/>
      <w:rPr>
        <w:noProof/>
        <w:sz w:val="44"/>
        <w:szCs w:val="44"/>
      </w:rPr>
    </w:pPr>
    <w:r w:rsidRPr="0066491E">
      <w:rPr>
        <w:noProof/>
        <w:szCs w:val="36"/>
      </w:rPr>
      <w:drawing>
        <wp:anchor distT="0" distB="0" distL="114300" distR="114300" simplePos="0" relativeHeight="251656192" behindDoc="1" locked="0" layoutInCell="1" allowOverlap="1" wp14:anchorId="4C10E487" wp14:editId="3F1BDACC">
          <wp:simplePos x="0" y="0"/>
          <wp:positionH relativeFrom="margin">
            <wp:posOffset>2513965</wp:posOffset>
          </wp:positionH>
          <wp:positionV relativeFrom="paragraph">
            <wp:posOffset>127000</wp:posOffset>
          </wp:positionV>
          <wp:extent cx="4069080" cy="1820545"/>
          <wp:effectExtent l="19050" t="0" r="7620" b="0"/>
          <wp:wrapTight wrapText="bothSides">
            <wp:wrapPolygon edited="0">
              <wp:start x="-101" y="0"/>
              <wp:lineTo x="-101" y="21472"/>
              <wp:lineTo x="21640" y="21472"/>
              <wp:lineTo x="21640" y="0"/>
              <wp:lineTo x="-10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mbined_tourism_pics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69080" cy="1820545"/>
                  </a:xfrm>
                  <a:prstGeom prst="rect">
                    <a:avLst/>
                  </a:prstGeom>
                </pic:spPr>
              </pic:pic>
            </a:graphicData>
          </a:graphic>
        </wp:anchor>
      </w:drawing>
    </w:r>
    <w:r w:rsidRPr="0066491E">
      <w:rPr>
        <w:szCs w:val="36"/>
      </w:rPr>
      <w:t>Managing bushfire risk requires us to first have a clear understanding of what communities and stakeholders value and want to protect in the landscape.</w:t>
    </w:r>
    <w:r w:rsidRPr="0066491E">
      <w:rPr>
        <w:noProof/>
        <w:sz w:val="44"/>
        <w:szCs w:val="44"/>
      </w:rPr>
      <w:t xml:space="preserve"> </w:t>
    </w:r>
  </w:p>
  <w:p w:rsidR="00B55D81" w:rsidRPr="0066491E" w:rsidRDefault="00B55D81" w:rsidP="0066491E">
    <w:pPr>
      <w:pStyle w:val="Body"/>
      <w:rPr>
        <w:rFonts w:asciiTheme="minorHAnsi" w:hAnsiTheme="minorHAnsi"/>
      </w:rPr>
    </w:pPr>
    <w:r w:rsidRPr="0066491E">
      <w:rPr>
        <w:rFonts w:asciiTheme="minorHAnsi" w:hAnsiTheme="minorHAnsi"/>
      </w:rPr>
      <w:t>The Department of Environment, Land, Water and Planning (DELWP) is tasked with managing bushfire risk on public land, as detailed in the Code of Practice for Bushfire Managem</w:t>
    </w:r>
    <w:r w:rsidR="00F72A54">
      <w:rPr>
        <w:rFonts w:asciiTheme="minorHAnsi" w:hAnsiTheme="minorHAnsi"/>
      </w:rPr>
      <w:t>ent on Public Land (2012). The C</w:t>
    </w:r>
    <w:r w:rsidRPr="0066491E">
      <w:rPr>
        <w:rFonts w:asciiTheme="minorHAnsi" w:hAnsiTheme="minorHAnsi"/>
      </w:rPr>
      <w:t>ode’s two core objectives are reducing bushfire risk to life, communities, infrastructure, the economy and the environment, and, maintaining or improving resilient ecosystems.  Human life takes priority. We collated an extensive range of data on assets across the landscape to work with stakeholders and community members to categorise and prioritise assets for reducing the risk of bushfire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B55D81" w:rsidTr="009E08E3">
      <w:trPr>
        <w:trHeight w:val="4424"/>
      </w:trPr>
      <w:tc>
        <w:tcPr>
          <w:tcW w:w="3831" w:type="dxa"/>
          <w:shd w:val="clear" w:color="auto" w:fill="auto"/>
        </w:tcPr>
        <w:p w:rsidR="00B55D81" w:rsidRDefault="00B55D81" w:rsidP="009E08E3">
          <w:pPr>
            <w:pStyle w:val="A3HE"/>
            <w:spacing w:before="240"/>
          </w:pPr>
          <w:r w:rsidRPr="008A6888">
            <w:rPr>
              <w:rFonts w:asciiTheme="minorHAnsi" w:hAnsiTheme="minorHAnsi"/>
            </w:rPr>
            <w:t>Advanced technology can simulate bushfire at many scales: local, regional, state and national. These prediction models help guide fire managers to plan where and how to concentrate efforts for reducing risk.dvanced technology can simulate bushfire at many scales: local, regional, state and national. These prediction models help guide fire managers to plan where and how to concentrate efforts for reducing risk.</w:t>
          </w:r>
        </w:p>
      </w:tc>
    </w:tr>
  </w:tbl>
  <w:p w:rsidR="00B55D81" w:rsidRPr="00A0047C" w:rsidRDefault="00B55D81" w:rsidP="009E08E3">
    <w:pPr>
      <w:pStyle w:val="CertHBWhite"/>
      <w:spacing w:after="120" w:line="360" w:lineRule="atLeast"/>
      <w:rPr>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D81" w:rsidRPr="00655526" w:rsidRDefault="00B55D81" w:rsidP="00655526">
    <w:pPr>
      <w:rPr>
        <w:rFonts w:cstheme="minorHAnsi"/>
        <w:color w:val="FFFFFF" w:themeColor="background1"/>
        <w:sz w:val="36"/>
        <w:szCs w:val="36"/>
      </w:rPr>
    </w:pPr>
    <w:r>
      <w:rPr>
        <w:noProof/>
        <w:color w:val="FFFFFF" w:themeColor="background1"/>
        <w:sz w:val="48"/>
        <w:szCs w:val="48"/>
      </w:rPr>
      <w:t>4</w:t>
    </w:r>
    <w:r w:rsidRPr="00655526">
      <w:rPr>
        <w:noProof/>
        <w:color w:val="FFFFFF" w:themeColor="background1"/>
        <w:sz w:val="48"/>
        <w:szCs w:val="48"/>
      </w:rPr>
      <w:t>.</w:t>
    </w:r>
    <w:r>
      <w:rPr>
        <w:noProof/>
        <w:color w:val="FFFFFF" w:themeColor="background1"/>
        <w:sz w:val="48"/>
        <w:szCs w:val="48"/>
      </w:rPr>
      <w:t xml:space="preserve"> </w:t>
    </w:r>
    <w:r>
      <w:rPr>
        <w:noProof/>
      </w:rPr>
      <w:drawing>
        <wp:anchor distT="0" distB="0" distL="114300" distR="114300" simplePos="0" relativeHeight="251660288" behindDoc="1" locked="0" layoutInCell="1" allowOverlap="1" wp14:anchorId="6F43D2C0" wp14:editId="17F8FB20">
          <wp:simplePos x="0" y="0"/>
          <wp:positionH relativeFrom="page">
            <wp:posOffset>-155517</wp:posOffset>
          </wp:positionH>
          <wp:positionV relativeFrom="paragraph">
            <wp:posOffset>-138776</wp:posOffset>
          </wp:positionV>
          <wp:extent cx="7819852" cy="972589"/>
          <wp:effectExtent l="19050" t="0" r="0" b="0"/>
          <wp:wrapNone/>
          <wp:docPr id="32" name="Picture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9852" cy="972589"/>
                  </a:xfrm>
                  <a:prstGeom prst="rect">
                    <a:avLst/>
                  </a:prstGeom>
                  <a:noFill/>
                  <a:ln>
                    <a:noFill/>
                  </a:ln>
                </pic:spPr>
              </pic:pic>
            </a:graphicData>
          </a:graphic>
        </wp:anchor>
      </w:drawing>
    </w:r>
    <w:r>
      <w:rPr>
        <w:noProof/>
        <w:color w:val="FFFFFF" w:themeColor="background1"/>
        <w:sz w:val="48"/>
        <w:szCs w:val="48"/>
      </w:rPr>
      <w:t>Community values and assets</w:t>
    </w:r>
  </w:p>
  <w:p w:rsidR="00B55D81" w:rsidRPr="00655526" w:rsidRDefault="00B55D81" w:rsidP="00655526">
    <w:pPr>
      <w:spacing w:after="0"/>
      <w:rPr>
        <w:rFonts w:cstheme="minorHAnsi"/>
        <w:color w:val="FFFFFF" w:themeColor="background1"/>
        <w:sz w:val="36"/>
        <w:szCs w:val="36"/>
      </w:rPr>
    </w:pPr>
    <w:r w:rsidRPr="00655526">
      <w:rPr>
        <w:rFonts w:cstheme="minorHAnsi"/>
        <w:color w:val="FFFFFF" w:themeColor="background1"/>
        <w:sz w:val="36"/>
        <w:szCs w:val="36"/>
      </w:rPr>
      <w:t>Alpine and Greater Gippsland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0F2A"/>
    <w:multiLevelType w:val="hybridMultilevel"/>
    <w:tmpl w:val="CF5A3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1956F9"/>
    <w:multiLevelType w:val="hybridMultilevel"/>
    <w:tmpl w:val="E3F23E48"/>
    <w:lvl w:ilvl="0" w:tplc="BCC2E49E">
      <w:start w:val="1"/>
      <w:numFmt w:val="bullet"/>
      <w:pStyle w:val="Bullet"/>
      <w:lvlText w:val=""/>
      <w:lvlJc w:val="left"/>
      <w:pPr>
        <w:tabs>
          <w:tab w:val="num" w:pos="-351"/>
        </w:tabs>
        <w:ind w:left="-351" w:hanging="360"/>
      </w:pPr>
      <w:rPr>
        <w:rFonts w:ascii="Symbol" w:hAnsi="Symbol" w:hint="default"/>
      </w:rPr>
    </w:lvl>
    <w:lvl w:ilvl="1" w:tplc="04090003">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2">
    <w:nsid w:val="1513240D"/>
    <w:multiLevelType w:val="hybridMultilevel"/>
    <w:tmpl w:val="5F26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F047B7"/>
    <w:multiLevelType w:val="hybridMultilevel"/>
    <w:tmpl w:val="DDDE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C0C0968"/>
    <w:multiLevelType w:val="hybridMultilevel"/>
    <w:tmpl w:val="16A0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86656B8"/>
    <w:multiLevelType w:val="hybridMultilevel"/>
    <w:tmpl w:val="393C2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C00069E"/>
    <w:multiLevelType w:val="hybridMultilevel"/>
    <w:tmpl w:val="9500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4CA02C2"/>
    <w:multiLevelType w:val="hybridMultilevel"/>
    <w:tmpl w:val="419C50F4"/>
    <w:lvl w:ilvl="0" w:tplc="6408E2A4">
      <w:start w:val="1"/>
      <w:numFmt w:val="decimal"/>
      <w:lvlText w:val="%1."/>
      <w:lvlJc w:val="left"/>
      <w:pPr>
        <w:ind w:left="720" w:hanging="360"/>
      </w:pPr>
      <w:rPr>
        <w:rFonts w:cstheme="minorBidi" w:hint="default"/>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BD7893"/>
    <w:multiLevelType w:val="hybridMultilevel"/>
    <w:tmpl w:val="0A8C1C40"/>
    <w:lvl w:ilvl="0" w:tplc="92F40A9A">
      <w:start w:val="1"/>
      <w:numFmt w:val="decimal"/>
      <w:lvlText w:val="%1."/>
      <w:lvlJc w:val="left"/>
      <w:pPr>
        <w:ind w:left="720" w:hanging="360"/>
      </w:pPr>
      <w:rPr>
        <w:rFonts w:cstheme="minorBidi" w:hint="default"/>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9"/>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57"/>
    <w:rsid w:val="00074E0E"/>
    <w:rsid w:val="00095811"/>
    <w:rsid w:val="001A2C80"/>
    <w:rsid w:val="00256202"/>
    <w:rsid w:val="00260F56"/>
    <w:rsid w:val="002D3E46"/>
    <w:rsid w:val="0032171E"/>
    <w:rsid w:val="003F5F76"/>
    <w:rsid w:val="004A6162"/>
    <w:rsid w:val="00531A12"/>
    <w:rsid w:val="00655526"/>
    <w:rsid w:val="0066491E"/>
    <w:rsid w:val="00707A65"/>
    <w:rsid w:val="007E1B3A"/>
    <w:rsid w:val="008067D8"/>
    <w:rsid w:val="00897A65"/>
    <w:rsid w:val="00897DF4"/>
    <w:rsid w:val="008A6888"/>
    <w:rsid w:val="00985859"/>
    <w:rsid w:val="00995D6E"/>
    <w:rsid w:val="009E08E3"/>
    <w:rsid w:val="00B55D81"/>
    <w:rsid w:val="00BF1FB7"/>
    <w:rsid w:val="00CD274F"/>
    <w:rsid w:val="00CE4F57"/>
    <w:rsid w:val="00D57775"/>
    <w:rsid w:val="00D8126F"/>
    <w:rsid w:val="00D83765"/>
    <w:rsid w:val="00D921C7"/>
    <w:rsid w:val="00E10CD4"/>
    <w:rsid w:val="00E5136E"/>
    <w:rsid w:val="00E55617"/>
    <w:rsid w:val="00EC5FDD"/>
    <w:rsid w:val="00F17904"/>
    <w:rsid w:val="00F3096B"/>
    <w:rsid w:val="00F72A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after="0" w:line="240" w:lineRule="atLeast"/>
      <w:jc w:val="both"/>
    </w:pPr>
    <w:rPr>
      <w:rFonts w:ascii="Arial" w:eastAsia="Times New Roman" w:hAnsi="Arial" w:cs="Arial"/>
      <w:color w:val="0D0D0D" w:themeColor="text1" w:themeTint="F2"/>
      <w:szCs w:val="24"/>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pPr>
      <w:spacing w:line="240" w:lineRule="auto"/>
    </w:pPr>
    <w:rPr>
      <w:rFonts w:ascii="Calibri" w:eastAsia="Times New Roman" w:hAnsi="Calibri" w:cs="Times New Roman"/>
      <w:b/>
      <w:bCs/>
      <w:color w:val="4F81BD" w:themeColor="accent1"/>
      <w:sz w:val="18"/>
      <w:szCs w:val="18"/>
    </w:rPr>
  </w:style>
  <w:style w:type="table" w:styleId="TableGrid">
    <w:name w:val="Table Grid"/>
    <w:basedOn w:val="TableNormal"/>
    <w:rsid w:val="00CE4F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unhideWhenUsed/>
    <w:rsid w:val="00CE4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 w:type="paragraph" w:styleId="ListParagraph">
    <w:name w:val="List Paragraph"/>
    <w:basedOn w:val="Normal"/>
    <w:uiPriority w:val="34"/>
    <w:qFormat/>
    <w:rsid w:val="006555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after="0" w:line="240" w:lineRule="atLeast"/>
      <w:jc w:val="both"/>
    </w:pPr>
    <w:rPr>
      <w:rFonts w:ascii="Arial" w:eastAsia="Times New Roman" w:hAnsi="Arial" w:cs="Arial"/>
      <w:color w:val="0D0D0D" w:themeColor="text1" w:themeTint="F2"/>
      <w:szCs w:val="24"/>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pPr>
      <w:spacing w:line="240" w:lineRule="auto"/>
    </w:pPr>
    <w:rPr>
      <w:rFonts w:ascii="Calibri" w:eastAsia="Times New Roman" w:hAnsi="Calibri" w:cs="Times New Roman"/>
      <w:b/>
      <w:bCs/>
      <w:color w:val="4F81BD" w:themeColor="accent1"/>
      <w:sz w:val="18"/>
      <w:szCs w:val="18"/>
    </w:rPr>
  </w:style>
  <w:style w:type="table" w:styleId="TableGrid">
    <w:name w:val="Table Grid"/>
    <w:basedOn w:val="TableNormal"/>
    <w:rsid w:val="00CE4F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unhideWhenUsed/>
    <w:rsid w:val="00CE4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 w:type="paragraph" w:styleId="ListParagraph">
    <w:name w:val="List Paragraph"/>
    <w:basedOn w:val="Normal"/>
    <w:uiPriority w:val="34"/>
    <w:qFormat/>
    <w:rsid w:val="00655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hyperlink" Target="mailto:customer.service@delwp.vic.gov.au" TargetMode="Externa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mailto:customer.service@delwp.vic.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reativecommons.org/licenses/by/4.0/" TargetMode="External"/><Relationship Id="rId23" Type="http://schemas.openxmlformats.org/officeDocument/2006/relationships/hyperlink" Target="mailto:alpine.greatergippsland@delwp.vic.gov.au" TargetMode="External"/><Relationship Id="rId10" Type="http://schemas.openxmlformats.org/officeDocument/2006/relationships/header" Target="header1.xml"/><Relationship Id="rId19" Type="http://schemas.openxmlformats.org/officeDocument/2006/relationships/hyperlink" Target="http://creativecommons.org/licenses/by/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emf"/><Relationship Id="rId22" Type="http://schemas.openxmlformats.org/officeDocument/2006/relationships/hyperlink" Target="http://www.relayservic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F1A51-C548-47C1-B39E-7D81672A7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mm61</dc:creator>
  <cp:lastModifiedBy>Joanne Eastman</cp:lastModifiedBy>
  <cp:revision>2</cp:revision>
  <cp:lastPrinted>2016-02-02T04:56:00Z</cp:lastPrinted>
  <dcterms:created xsi:type="dcterms:W3CDTF">2016-03-29T05:14:00Z</dcterms:created>
  <dcterms:modified xsi:type="dcterms:W3CDTF">2016-03-29T05:14:00Z</dcterms:modified>
</cp:coreProperties>
</file>