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E30" w:rsidRPr="00BA6A34" w:rsidRDefault="00CF5E30" w:rsidP="00CF5E30">
      <w:pPr>
        <w:pStyle w:val="A3HE"/>
      </w:pPr>
      <w:r w:rsidRPr="00BA6A34">
        <w:rPr>
          <w:noProof/>
          <w:spacing w:val="-10"/>
          <w:szCs w:val="40"/>
        </w:rPr>
        <w:t>Strategic</w:t>
      </w:r>
      <w:r w:rsidRPr="00BA6A34">
        <w:t xml:space="preserve"> bushfire management planning combines local knowledge with the latest technology, historical data and the best-available science.</w:t>
      </w:r>
    </w:p>
    <w:p w:rsidR="00CF5E30" w:rsidRPr="00BA6A34" w:rsidRDefault="00CF5E30" w:rsidP="00CF5E30">
      <w:pPr>
        <w:pStyle w:val="Body"/>
        <w:rPr>
          <w:rFonts w:asciiTheme="minorHAnsi" w:hAnsiTheme="minorHAnsi"/>
        </w:rPr>
      </w:pPr>
      <w:r w:rsidRPr="00BA6A34">
        <w:rPr>
          <w:rFonts w:asciiTheme="minorHAnsi" w:hAnsiTheme="minorHAnsi"/>
          <w:b/>
        </w:rPr>
        <w:t>Alpine and Greater Gippsland</w:t>
      </w:r>
      <w:r w:rsidRPr="00BA6A34">
        <w:rPr>
          <w:rFonts w:asciiTheme="minorHAnsi" w:hAnsiTheme="minorHAnsi"/>
        </w:rPr>
        <w:t xml:space="preserve"> is one of Victoria’s seven risk landscapes, which are operational areas largely defined by the way bushfires start and spread within a region.  Teams from the Department of Environment, Land, Water and Planning (DELWP) and Parks Victoria (PV) have been working with partner agencies and stakeholders to develop a risk-based approach to bushfire management. This allows DELWP, PV and other agencies responsible for bushfire management to focus on the most effective activities to reduce bushfire risk.</w:t>
      </w:r>
    </w:p>
    <w:p w:rsidR="00CF5E30" w:rsidRPr="00BA6A34" w:rsidRDefault="00CF5E30" w:rsidP="00CF5E30">
      <w:pPr>
        <w:pStyle w:val="A3HE"/>
      </w:pPr>
      <w:r w:rsidRPr="00BA6A34">
        <w:t>The framework</w:t>
      </w:r>
    </w:p>
    <w:p w:rsidR="00CF5E30" w:rsidRPr="00BA6A34" w:rsidRDefault="00CF5E30" w:rsidP="00CF5E30">
      <w:pPr>
        <w:pStyle w:val="Body"/>
        <w:rPr>
          <w:rFonts w:asciiTheme="minorHAnsi" w:hAnsiTheme="minorHAnsi"/>
        </w:rPr>
      </w:pPr>
      <w:r w:rsidRPr="00BA6A34">
        <w:rPr>
          <w:rFonts w:asciiTheme="minorHAnsi" w:hAnsiTheme="minorHAnsi"/>
        </w:rPr>
        <w:t>The risk planning process provides an adaptive and sustainable framework for DELWP, PV, key stakeholders and communities to work together to minimise bushfire risk. It comprises four key stages:</w:t>
      </w:r>
    </w:p>
    <w:p w:rsidR="00CF5E30" w:rsidRPr="00BA6A34" w:rsidRDefault="00CF5E30" w:rsidP="00CF5E30">
      <w:pPr>
        <w:pStyle w:val="Body"/>
        <w:rPr>
          <w:rFonts w:asciiTheme="minorHAnsi" w:hAnsiTheme="minorHAnsi"/>
          <w:b/>
        </w:rPr>
      </w:pPr>
      <w:r w:rsidRPr="00BA6A34">
        <w:rPr>
          <w:rFonts w:asciiTheme="minorHAnsi" w:hAnsiTheme="minorHAnsi"/>
          <w:b/>
          <w:color w:val="4A442A" w:themeColor="background2" w:themeShade="40"/>
        </w:rPr>
        <w:t>Modelling Bushfire Risk: The first stage</w:t>
      </w:r>
      <w:r w:rsidRPr="00BA6A34">
        <w:rPr>
          <w:rFonts w:asciiTheme="minorHAnsi" w:hAnsiTheme="minorHAnsi"/>
          <w:b/>
        </w:rPr>
        <w:t xml:space="preserve"> </w:t>
      </w:r>
      <w:r w:rsidRPr="00BA6A34">
        <w:rPr>
          <w:rFonts w:asciiTheme="minorHAnsi" w:hAnsiTheme="minorHAnsi"/>
        </w:rPr>
        <w:t>gathers</w:t>
      </w:r>
      <w:r w:rsidRPr="00BA6A34">
        <w:rPr>
          <w:rFonts w:asciiTheme="minorHAnsi" w:hAnsiTheme="minorHAnsi"/>
          <w:b/>
        </w:rPr>
        <w:t xml:space="preserve"> </w:t>
      </w:r>
      <w:r w:rsidRPr="00BA6A34">
        <w:rPr>
          <w:rFonts w:asciiTheme="minorHAnsi" w:hAnsiTheme="minorHAnsi"/>
        </w:rPr>
        <w:t xml:space="preserve">inputs such as historical fire data, fuel hazards, terrain and weather to model bushfire behaviour across a wide range of conditions, using world-leading bushfire simulation technology, Phoenix </w:t>
      </w:r>
      <w:proofErr w:type="spellStart"/>
      <w:r w:rsidRPr="00BA6A34">
        <w:rPr>
          <w:rFonts w:asciiTheme="minorHAnsi" w:hAnsiTheme="minorHAnsi"/>
        </w:rPr>
        <w:t>RapidFire</w:t>
      </w:r>
      <w:proofErr w:type="spellEnd"/>
      <w:r w:rsidRPr="00BA6A34">
        <w:rPr>
          <w:rFonts w:asciiTheme="minorHAnsi" w:hAnsiTheme="minorHAnsi"/>
        </w:rPr>
        <w:t xml:space="preserve">. (For more information, see factsheet </w:t>
      </w:r>
      <w:r w:rsidRPr="00BA6A34">
        <w:rPr>
          <w:rFonts w:asciiTheme="minorHAnsi" w:hAnsiTheme="minorHAnsi"/>
          <w:b/>
          <w:i/>
        </w:rPr>
        <w:t>Bushfire simulation</w:t>
      </w:r>
      <w:r w:rsidRPr="00BA6A34">
        <w:rPr>
          <w:rFonts w:asciiTheme="minorHAnsi" w:hAnsiTheme="minorHAnsi"/>
        </w:rPr>
        <w:t>.)</w:t>
      </w:r>
    </w:p>
    <w:p w:rsidR="00CF5E30" w:rsidRPr="00BA6A34" w:rsidRDefault="00CF5E30" w:rsidP="00CF5E30">
      <w:pPr>
        <w:pStyle w:val="Body"/>
        <w:rPr>
          <w:rFonts w:asciiTheme="minorHAnsi" w:hAnsiTheme="minorHAnsi"/>
          <w:b/>
        </w:rPr>
      </w:pPr>
      <w:r w:rsidRPr="00BA6A34">
        <w:rPr>
          <w:rFonts w:asciiTheme="minorHAnsi" w:hAnsiTheme="minorHAnsi"/>
          <w:b/>
          <w:color w:val="9E7500"/>
        </w:rPr>
        <w:t>Community Values: The second stage</w:t>
      </w:r>
      <w:r w:rsidRPr="00BA6A34">
        <w:rPr>
          <w:rFonts w:asciiTheme="minorHAnsi" w:hAnsiTheme="minorHAnsi"/>
        </w:rPr>
        <w:t xml:space="preserve"> in the process involves DELWP and PV working with stakeholders and communities to understand what they value and want to protect from bushfires. Detailed information is gathered on assets of all kinds across the landscape, including dwellings, infrastructure, the economies and industries, </w:t>
      </w:r>
      <w:r w:rsidRPr="00BA6A34">
        <w:rPr>
          <w:rFonts w:asciiTheme="minorHAnsi" w:hAnsiTheme="minorHAnsi"/>
        </w:rPr>
        <w:lastRenderedPageBreak/>
        <w:t xml:space="preserve">the environment and its ecosystems. (For more information, see factsheet </w:t>
      </w:r>
      <w:r w:rsidRPr="00BA6A34">
        <w:rPr>
          <w:rFonts w:asciiTheme="minorHAnsi" w:hAnsiTheme="minorHAnsi"/>
          <w:b/>
          <w:i/>
        </w:rPr>
        <w:t>Community Values</w:t>
      </w:r>
      <w:r w:rsidRPr="00BA6A34">
        <w:rPr>
          <w:rFonts w:asciiTheme="minorHAnsi" w:hAnsiTheme="minorHAnsi"/>
        </w:rPr>
        <w:t>.)</w:t>
      </w:r>
    </w:p>
    <w:p w:rsidR="00CF5E30" w:rsidRPr="00BA6A34" w:rsidRDefault="00CF5E30" w:rsidP="00CF5E30">
      <w:pPr>
        <w:pStyle w:val="Body"/>
        <w:rPr>
          <w:rFonts w:asciiTheme="minorHAnsi" w:hAnsiTheme="minorHAnsi"/>
          <w:b/>
          <w:i/>
        </w:rPr>
      </w:pPr>
      <w:r w:rsidRPr="00BA6A34">
        <w:rPr>
          <w:rFonts w:asciiTheme="minorHAnsi" w:hAnsiTheme="minorHAnsi"/>
          <w:b/>
          <w:color w:val="632423" w:themeColor="accent2" w:themeShade="80"/>
        </w:rPr>
        <w:t>Risk Assessment: The third stage</w:t>
      </w:r>
      <w:r w:rsidRPr="00BA6A34">
        <w:rPr>
          <w:rFonts w:asciiTheme="minorHAnsi" w:hAnsiTheme="minorHAnsi"/>
          <w:color w:val="632423" w:themeColor="accent2" w:themeShade="80"/>
        </w:rPr>
        <w:t xml:space="preserve"> </w:t>
      </w:r>
      <w:r w:rsidRPr="00BA6A34">
        <w:rPr>
          <w:rFonts w:asciiTheme="minorHAnsi" w:hAnsiTheme="minorHAnsi"/>
        </w:rPr>
        <w:t xml:space="preserve">again produces bushfire modelling and combines it with detailed risk analysis using internationally recognised risk methodology to assess bushfire risk profiles based on likelihood and consequence of bushfire affecting each of the assets. (For more information, see factsheet </w:t>
      </w:r>
      <w:r w:rsidRPr="00BA6A34">
        <w:rPr>
          <w:rFonts w:asciiTheme="minorHAnsi" w:hAnsiTheme="minorHAnsi"/>
          <w:b/>
          <w:i/>
        </w:rPr>
        <w:t>Assessing Risk</w:t>
      </w:r>
      <w:r w:rsidRPr="00BA6A34">
        <w:rPr>
          <w:rFonts w:asciiTheme="minorHAnsi" w:hAnsiTheme="minorHAnsi"/>
        </w:rPr>
        <w:t>.)</w:t>
      </w:r>
    </w:p>
    <w:p w:rsidR="00CF5E30" w:rsidRPr="00BA6A34" w:rsidRDefault="00CF5E30" w:rsidP="00CF5E30">
      <w:pPr>
        <w:pStyle w:val="Body"/>
        <w:rPr>
          <w:rFonts w:asciiTheme="minorHAnsi" w:hAnsiTheme="minorHAnsi"/>
        </w:rPr>
      </w:pPr>
      <w:r w:rsidRPr="00BA6A34">
        <w:rPr>
          <w:rFonts w:asciiTheme="minorHAnsi" w:hAnsiTheme="minorHAnsi"/>
          <w:b/>
          <w:color w:val="D28C2E"/>
        </w:rPr>
        <w:t>Develop plan: The fourth stage</w:t>
      </w:r>
      <w:r w:rsidRPr="00BA6A34">
        <w:rPr>
          <w:rFonts w:asciiTheme="minorHAnsi" w:hAnsiTheme="minorHAnsi"/>
          <w:color w:val="FFC000"/>
        </w:rPr>
        <w:t xml:space="preserve"> </w:t>
      </w:r>
      <w:r w:rsidRPr="00BA6A34">
        <w:rPr>
          <w:rFonts w:asciiTheme="minorHAnsi" w:hAnsiTheme="minorHAnsi"/>
        </w:rPr>
        <w:t xml:space="preserve">combines the bushfire modelling, the defined risk profiles, in conjunction with local knowledge, experience and expertise in fire, to determine the fuel management strategy. Such detailed analysis allows planning for fuel treatments in each area of the landscape, based on its risk profile. </w:t>
      </w:r>
    </w:p>
    <w:p w:rsidR="00CF5E30" w:rsidRPr="00BA6A34" w:rsidRDefault="00CF5E30" w:rsidP="00CF5E30">
      <w:pPr>
        <w:pStyle w:val="Body"/>
        <w:rPr>
          <w:rFonts w:asciiTheme="minorHAnsi" w:hAnsiTheme="minorHAnsi"/>
          <w:b/>
        </w:rPr>
      </w:pPr>
      <w:r w:rsidRPr="00BA6A34">
        <w:rPr>
          <w:rFonts w:asciiTheme="minorHAnsi" w:hAnsiTheme="minorHAnsi"/>
        </w:rPr>
        <w:t xml:space="preserve">This initial plan becomes the base for future iterations, which will be improved by continuous data improvements, input and feedback from stakeholders and the community.  </w:t>
      </w:r>
    </w:p>
    <w:p w:rsidR="00CF5E30" w:rsidRPr="00BA6A34" w:rsidRDefault="00CF5E30" w:rsidP="00CF5E30">
      <w:pPr>
        <w:pStyle w:val="A3HE"/>
      </w:pPr>
      <w:r w:rsidRPr="00BA6A34">
        <w:t>Who was involved?</w:t>
      </w:r>
    </w:p>
    <w:p w:rsidR="00CF5E30" w:rsidRPr="00BA6A34" w:rsidRDefault="00CF5E30" w:rsidP="00CF5E30">
      <w:pPr>
        <w:pStyle w:val="Body"/>
        <w:rPr>
          <w:rFonts w:asciiTheme="minorHAnsi" w:hAnsiTheme="minorHAnsi"/>
        </w:rPr>
      </w:pPr>
      <w:r w:rsidRPr="00BA6A34">
        <w:rPr>
          <w:rFonts w:asciiTheme="minorHAnsi" w:hAnsiTheme="minorHAnsi"/>
        </w:rPr>
        <w:t xml:space="preserve">DELWP and PV have been working with two main groups in reviewing the potential strategies, prioritising asset types and assessing risk to build the initial plan. </w:t>
      </w:r>
    </w:p>
    <w:p w:rsidR="00CF5E30" w:rsidRPr="00BA6A34" w:rsidRDefault="00CF5E30" w:rsidP="00CF5E30">
      <w:pPr>
        <w:pStyle w:val="Body"/>
        <w:rPr>
          <w:rFonts w:asciiTheme="minorHAnsi" w:hAnsiTheme="minorHAnsi"/>
        </w:rPr>
      </w:pPr>
      <w:r w:rsidRPr="00BA6A34">
        <w:rPr>
          <w:rFonts w:asciiTheme="minorHAnsi" w:hAnsiTheme="minorHAnsi"/>
          <w:b/>
        </w:rPr>
        <w:t>The Landscape Reference Group (LRG)</w:t>
      </w:r>
      <w:r w:rsidRPr="00BA6A34">
        <w:rPr>
          <w:rFonts w:asciiTheme="minorHAnsi" w:hAnsiTheme="minorHAnsi"/>
        </w:rPr>
        <w:t xml:space="preserve"> included nominated community stakeholders with expertise and good local knowledge of bushfires in the landscape. It was made up of 14 members with broad interests and experience including apiarists, timber industry, CFA and parks and forests.</w:t>
      </w:r>
    </w:p>
    <w:p w:rsidR="00CF5E30" w:rsidRPr="00BA6A34" w:rsidRDefault="00CF5E30" w:rsidP="00CF5E30">
      <w:pPr>
        <w:pStyle w:val="Bullet"/>
        <w:numPr>
          <w:ilvl w:val="0"/>
          <w:numId w:val="0"/>
        </w:numPr>
        <w:ind w:left="57"/>
        <w:rPr>
          <w:rFonts w:asciiTheme="minorHAnsi" w:hAnsiTheme="minorHAnsi"/>
        </w:rPr>
      </w:pPr>
      <w:r w:rsidRPr="00BA6A34">
        <w:rPr>
          <w:rFonts w:asciiTheme="minorHAnsi" w:hAnsiTheme="minorHAnsi"/>
          <w:b/>
        </w:rPr>
        <w:t>The Internal Working Group (IWG)</w:t>
      </w:r>
      <w:r w:rsidRPr="00BA6A34">
        <w:rPr>
          <w:rFonts w:asciiTheme="minorHAnsi" w:hAnsiTheme="minorHAnsi"/>
        </w:rPr>
        <w:t xml:space="preserve"> included experts from DELWP and PV and cross-agency representatives with extensive operational experience: this group focused on making sure the strategy was implementable. </w:t>
      </w:r>
    </w:p>
    <w:p w:rsidR="00CF5E30" w:rsidRPr="00BA6A34" w:rsidRDefault="00CF5E30" w:rsidP="00CF5E30">
      <w:pPr>
        <w:pStyle w:val="Bullet"/>
        <w:numPr>
          <w:ilvl w:val="0"/>
          <w:numId w:val="0"/>
        </w:numPr>
        <w:ind w:left="57"/>
        <w:rPr>
          <w:rFonts w:asciiTheme="minorHAnsi" w:hAnsiTheme="minorHAnsi"/>
        </w:rPr>
      </w:pPr>
      <w:r w:rsidRPr="00BA6A34">
        <w:rPr>
          <w:rFonts w:asciiTheme="minorHAnsi" w:hAnsiTheme="minorHAnsi"/>
        </w:rPr>
        <w:t>Both groups met fortnightly and helped to:</w:t>
      </w:r>
    </w:p>
    <w:p w:rsidR="00CF5E30" w:rsidRPr="00BA6A34" w:rsidRDefault="00CF5E30" w:rsidP="00CF5E30">
      <w:pPr>
        <w:pStyle w:val="Bullet"/>
        <w:rPr>
          <w:rFonts w:asciiTheme="minorHAnsi" w:hAnsiTheme="minorHAnsi"/>
        </w:rPr>
        <w:sectPr w:rsidR="00CF5E30" w:rsidRPr="00BA6A34" w:rsidSect="00BA6A34">
          <w:headerReference w:type="default" r:id="rId9"/>
          <w:footerReference w:type="default" r:id="rId10"/>
          <w:pgSz w:w="11906" w:h="16838"/>
          <w:pgMar w:top="5671" w:right="707" w:bottom="1134" w:left="851" w:header="426" w:footer="580" w:gutter="0"/>
          <w:cols w:num="2" w:space="708"/>
          <w:docGrid w:linePitch="360"/>
        </w:sectPr>
      </w:pPr>
      <w:r w:rsidRPr="00BA6A34">
        <w:rPr>
          <w:rFonts w:asciiTheme="minorHAnsi" w:hAnsiTheme="minorHAnsi"/>
        </w:rPr>
        <w:t>identify assets and values for priority protection.</w:t>
      </w:r>
    </w:p>
    <w:p w:rsidR="00CF5E30" w:rsidRPr="00BA6A34" w:rsidRDefault="00CF5E30" w:rsidP="00CF5E30">
      <w:pPr>
        <w:pStyle w:val="Bullet"/>
        <w:rPr>
          <w:rFonts w:asciiTheme="minorHAnsi" w:hAnsiTheme="minorHAnsi"/>
        </w:rPr>
      </w:pPr>
      <w:r w:rsidRPr="00BA6A34">
        <w:rPr>
          <w:rFonts w:asciiTheme="minorHAnsi" w:hAnsiTheme="minorHAnsi"/>
        </w:rPr>
        <w:lastRenderedPageBreak/>
        <w:t>select the most effective strategy to reduce bushfire risk, based on the available data and options</w:t>
      </w:r>
    </w:p>
    <w:p w:rsidR="00CF5E30" w:rsidRPr="00BA6A34" w:rsidRDefault="002F35C1" w:rsidP="00CF5E30">
      <w:pPr>
        <w:pStyle w:val="Body"/>
        <w:rPr>
          <w:rFonts w:asciiTheme="minorHAnsi" w:hAnsiTheme="minorHAnsi"/>
        </w:rPr>
      </w:pPr>
      <w:r>
        <w:rPr>
          <w:rFonts w:asciiTheme="minorHAnsi" w:hAnsiTheme="minorHAnsi" w:cstheme="minorHAnsi"/>
          <w:noProof/>
          <w:color w:val="31849B" w:themeColor="accent5" w:themeShade="BF"/>
          <w:sz w:val="36"/>
        </w:rPr>
        <w:drawing>
          <wp:anchor distT="0" distB="0" distL="114300" distR="114300" simplePos="0" relativeHeight="251676672" behindDoc="1" locked="0" layoutInCell="1" allowOverlap="1">
            <wp:simplePos x="0" y="0"/>
            <wp:positionH relativeFrom="margin">
              <wp:posOffset>-13970</wp:posOffset>
            </wp:positionH>
            <wp:positionV relativeFrom="paragraph">
              <wp:posOffset>206375</wp:posOffset>
            </wp:positionV>
            <wp:extent cx="2960370" cy="3406775"/>
            <wp:effectExtent l="0" t="0" r="0" b="0"/>
            <wp:wrapNone/>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0370" cy="3406775"/>
                    </a:xfrm>
                    <a:prstGeom prst="rect">
                      <a:avLst/>
                    </a:prstGeom>
                    <a:noFill/>
                  </pic:spPr>
                </pic:pic>
              </a:graphicData>
            </a:graphic>
            <wp14:sizeRelH relativeFrom="page">
              <wp14:pctWidth>0</wp14:pctWidth>
            </wp14:sizeRelH>
            <wp14:sizeRelV relativeFrom="page">
              <wp14:pctHeight>0</wp14:pctHeight>
            </wp14:sizeRelV>
          </wp:anchor>
        </w:drawing>
      </w:r>
      <w:r w:rsidR="00CF5E30" w:rsidRPr="00BA6A34">
        <w:rPr>
          <w:rFonts w:asciiTheme="minorHAnsi" w:hAnsiTheme="minorHAnsi"/>
        </w:rPr>
        <w:t xml:space="preserve">Consultation will now widen to include more stakeholders, interest groups, industries and the community. </w:t>
      </w:r>
    </w:p>
    <w:p w:rsidR="00CF5E30" w:rsidRPr="00BA6A34" w:rsidRDefault="00CF5E30" w:rsidP="00CD274F">
      <w:pPr>
        <w:pStyle w:val="A3HE"/>
        <w:rPr>
          <w:spacing w:val="-10"/>
          <w:sz w:val="34"/>
          <w:szCs w:val="34"/>
        </w:rPr>
      </w:pPr>
    </w:p>
    <w:p w:rsidR="00CF5E30" w:rsidRPr="00BA6A34" w:rsidRDefault="00CF5E30" w:rsidP="00CD274F">
      <w:pPr>
        <w:pStyle w:val="A3HE"/>
        <w:rPr>
          <w:spacing w:val="-10"/>
          <w:sz w:val="34"/>
          <w:szCs w:val="34"/>
        </w:rPr>
      </w:pPr>
    </w:p>
    <w:p w:rsidR="00CF5E30" w:rsidRPr="00BA6A34" w:rsidRDefault="002F35C1" w:rsidP="00CD274F">
      <w:pPr>
        <w:pStyle w:val="A3HE"/>
        <w:rPr>
          <w:spacing w:val="-10"/>
          <w:sz w:val="34"/>
          <w:szCs w:val="34"/>
        </w:rPr>
      </w:pPr>
      <w:r>
        <w:rPr>
          <w:noProof/>
          <w:spacing w:val="-10"/>
          <w:sz w:val="34"/>
          <w:szCs w:val="34"/>
        </w:rPr>
        <mc:AlternateContent>
          <mc:Choice Requires="wps">
            <w:drawing>
              <wp:anchor distT="0" distB="0" distL="114300" distR="114300" simplePos="0" relativeHeight="251688448" behindDoc="1" locked="0" layoutInCell="1" allowOverlap="1">
                <wp:simplePos x="0" y="0"/>
                <wp:positionH relativeFrom="column">
                  <wp:posOffset>336550</wp:posOffset>
                </wp:positionH>
                <wp:positionV relativeFrom="paragraph">
                  <wp:posOffset>119380</wp:posOffset>
                </wp:positionV>
                <wp:extent cx="1118235" cy="1151890"/>
                <wp:effectExtent l="635" t="0" r="0" b="1270"/>
                <wp:wrapNone/>
                <wp:docPr id="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6D90" w:rsidRDefault="00BA6A34" w:rsidP="006F6D90">
                            <w:pPr>
                              <w:spacing w:after="0"/>
                              <w:jc w:val="right"/>
                              <w:rPr>
                                <w:rFonts w:cs="Arial"/>
                                <w:b/>
                                <w:color w:val="FFFFFF" w:themeColor="background1"/>
                                <w:sz w:val="16"/>
                                <w:szCs w:val="17"/>
                              </w:rPr>
                            </w:pPr>
                            <w:r w:rsidRPr="00CF5E30">
                              <w:rPr>
                                <w:rFonts w:cs="Arial"/>
                                <w:b/>
                                <w:color w:val="FFFFFF" w:themeColor="background1"/>
                                <w:sz w:val="16"/>
                                <w:szCs w:val="17"/>
                              </w:rPr>
                              <w:t xml:space="preserve">Priority </w:t>
                            </w:r>
                            <w:r w:rsidRPr="00CF5E30">
                              <w:rPr>
                                <w:rFonts w:cs="Arial"/>
                                <w:b/>
                                <w:color w:val="FFFFFF" w:themeColor="background1"/>
                                <w:sz w:val="16"/>
                                <w:szCs w:val="17"/>
                              </w:rPr>
                              <w:br/>
                              <w:t>assets:</w:t>
                            </w:r>
                          </w:p>
                          <w:p w:rsidR="00BA6A34" w:rsidRPr="00CF5E30" w:rsidRDefault="00BA6A34" w:rsidP="00CF5E30">
                            <w:pPr>
                              <w:jc w:val="right"/>
                              <w:rPr>
                                <w:rFonts w:cs="Arial"/>
                                <w:b/>
                                <w:color w:val="FFFFFF" w:themeColor="background1"/>
                                <w:sz w:val="16"/>
                                <w:szCs w:val="17"/>
                              </w:rPr>
                            </w:pPr>
                            <w:r w:rsidRPr="00CF5E30">
                              <w:rPr>
                                <w:rFonts w:cs="Arial"/>
                                <w:b/>
                                <w:color w:val="FFFFFF" w:themeColor="background1"/>
                                <w:sz w:val="16"/>
                                <w:szCs w:val="17"/>
                              </w:rPr>
                              <w:t xml:space="preserve"> life, property, the economy and  environment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26.5pt;margin-top:9.4pt;width:88.05pt;height:90.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" filled="f" stroked="f" strokeweight=".5pt">
                <v:textbox>
                  <w:txbxContent>
                    <w:p w:rsidR="006F6D90" w:rsidRDefault="00BA6A34" w:rsidP="006F6D90">
                      <w:pPr>
                        <w:spacing w:after="0"/>
                        <w:jc w:val="right"/>
                        <w:rPr>
                          <w:rFonts w:cs="Arial"/>
                          <w:b/>
                          <w:color w:val="FFFFFF" w:themeColor="background1"/>
                          <w:sz w:val="16"/>
                          <w:szCs w:val="17"/>
                        </w:rPr>
                      </w:pPr>
                      <w:r w:rsidRPr="00CF5E30">
                        <w:rPr>
                          <w:rFonts w:cs="Arial"/>
                          <w:b/>
                          <w:color w:val="FFFFFF" w:themeColor="background1"/>
                          <w:sz w:val="16"/>
                          <w:szCs w:val="17"/>
                        </w:rPr>
                        <w:t xml:space="preserve">Priority </w:t>
                      </w:r>
                      <w:r w:rsidRPr="00CF5E30">
                        <w:rPr>
                          <w:rFonts w:cs="Arial"/>
                          <w:b/>
                          <w:color w:val="FFFFFF" w:themeColor="background1"/>
                          <w:sz w:val="16"/>
                          <w:szCs w:val="17"/>
                        </w:rPr>
                        <w:br/>
                        <w:t>assets:</w:t>
                      </w:r>
                    </w:p>
                    <w:p w:rsidR="00BA6A34" w:rsidRPr="00CF5E30" w:rsidRDefault="00BA6A34" w:rsidP="00CF5E30">
                      <w:pPr>
                        <w:jc w:val="right"/>
                        <w:rPr>
                          <w:rFonts w:cs="Arial"/>
                          <w:b/>
                          <w:color w:val="FFFFFF" w:themeColor="background1"/>
                          <w:sz w:val="16"/>
                          <w:szCs w:val="17"/>
                        </w:rPr>
                      </w:pPr>
                      <w:r w:rsidRPr="00CF5E30">
                        <w:rPr>
                          <w:rFonts w:cs="Arial"/>
                          <w:b/>
                          <w:color w:val="FFFFFF" w:themeColor="background1"/>
                          <w:sz w:val="16"/>
                          <w:szCs w:val="17"/>
                        </w:rPr>
                        <w:t xml:space="preserve"> life, property, the economy and  environment  </w:t>
                      </w:r>
                    </w:p>
                  </w:txbxContent>
                </v:textbox>
              </v:shape>
            </w:pict>
          </mc:Fallback>
        </mc:AlternateContent>
      </w:r>
      <w:r>
        <w:rPr>
          <w:noProof/>
          <w:spacing w:val="-10"/>
          <w:sz w:val="34"/>
          <w:szCs w:val="34"/>
        </w:rPr>
        <mc:AlternateContent>
          <mc:Choice Requires="wps">
            <w:drawing>
              <wp:anchor distT="0" distB="0" distL="114300" distR="114300" simplePos="0" relativeHeight="251687424" behindDoc="1" locked="0" layoutInCell="1" allowOverlap="1">
                <wp:simplePos x="0" y="0"/>
                <wp:positionH relativeFrom="column">
                  <wp:posOffset>1590040</wp:posOffset>
                </wp:positionH>
                <wp:positionV relativeFrom="paragraph">
                  <wp:posOffset>128270</wp:posOffset>
                </wp:positionV>
                <wp:extent cx="981075" cy="1183005"/>
                <wp:effectExtent l="0" t="0" r="3175" b="0"/>
                <wp:wrapNone/>
                <wp:docPr id="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18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6A34" w:rsidRDefault="00BA6A34" w:rsidP="00BA6A34">
                            <w:pPr>
                              <w:spacing w:after="0"/>
                              <w:rPr>
                                <w:rFonts w:ascii="Calibri" w:hAnsi="Calibri" w:cs="Arial"/>
                                <w:b/>
                                <w:color w:val="FFFFFF" w:themeColor="background1"/>
                                <w:sz w:val="16"/>
                                <w:szCs w:val="16"/>
                              </w:rPr>
                            </w:pPr>
                            <w:r w:rsidRPr="00CF5E30">
                              <w:rPr>
                                <w:rFonts w:ascii="Calibri" w:hAnsi="Calibri" w:cs="Arial"/>
                                <w:b/>
                                <w:color w:val="FFFFFF" w:themeColor="background1"/>
                                <w:sz w:val="16"/>
                                <w:szCs w:val="16"/>
                              </w:rPr>
                              <w:t xml:space="preserve">Local </w:t>
                            </w:r>
                          </w:p>
                          <w:p w:rsidR="00BA6A34" w:rsidRPr="00CF5E30" w:rsidRDefault="00BA6A34" w:rsidP="00BA6A34">
                            <w:pPr>
                              <w:spacing w:after="0"/>
                              <w:rPr>
                                <w:rFonts w:ascii="Calibri" w:hAnsi="Calibri" w:cs="Arial"/>
                                <w:b/>
                                <w:color w:val="FFFFFF" w:themeColor="background1"/>
                                <w:sz w:val="16"/>
                                <w:szCs w:val="16"/>
                              </w:rPr>
                            </w:pPr>
                            <w:r w:rsidRPr="00CF5E30">
                              <w:rPr>
                                <w:rFonts w:ascii="Calibri" w:hAnsi="Calibri" w:cs="Arial"/>
                                <w:b/>
                                <w:color w:val="FFFFFF" w:themeColor="background1"/>
                                <w:sz w:val="16"/>
                                <w:szCs w:val="16"/>
                              </w:rPr>
                              <w:t xml:space="preserve">experience, knowledge </w:t>
                            </w:r>
                            <w:r w:rsidRPr="00CF5E30">
                              <w:rPr>
                                <w:rFonts w:ascii="Calibri" w:hAnsi="Calibri" w:cs="Arial"/>
                                <w:b/>
                                <w:color w:val="FFFFFF" w:themeColor="background1"/>
                                <w:sz w:val="16"/>
                                <w:szCs w:val="16"/>
                              </w:rPr>
                              <w:br/>
                              <w:t xml:space="preserve">of bushfire behaviour </w:t>
                            </w:r>
                          </w:p>
                          <w:p w:rsidR="00BA6A34" w:rsidRPr="00CF5E30" w:rsidRDefault="00BA6A34" w:rsidP="00CF5E30">
                            <w:pPr>
                              <w:jc w:val="center"/>
                              <w:rPr>
                                <w:rFonts w:ascii="Calibri" w:hAnsi="Calibri" w:cs="Arial"/>
                                <w:b/>
                                <w:color w:val="FFFFFF" w:themeColor="background1"/>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7" type="#_x0000_t202" style="position:absolute;margin-left:125.2pt;margin-top:10.1pt;width:77.25pt;height:93.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" filled="f" stroked="f" strokeweight=".5pt">
                <v:textbox>
                  <w:txbxContent>
                    <w:p w:rsidR="00BA6A34" w:rsidRDefault="00BA6A34" w:rsidP="00BA6A34">
                      <w:pPr>
                        <w:spacing w:after="0"/>
                        <w:rPr>
                          <w:rFonts w:ascii="Calibri" w:hAnsi="Calibri" w:cs="Arial"/>
                          <w:b/>
                          <w:color w:val="FFFFFF" w:themeColor="background1"/>
                          <w:sz w:val="16"/>
                          <w:szCs w:val="16"/>
                        </w:rPr>
                      </w:pPr>
                      <w:r w:rsidRPr="00CF5E30">
                        <w:rPr>
                          <w:rFonts w:ascii="Calibri" w:hAnsi="Calibri" w:cs="Arial"/>
                          <w:b/>
                          <w:color w:val="FFFFFF" w:themeColor="background1"/>
                          <w:sz w:val="16"/>
                          <w:szCs w:val="16"/>
                        </w:rPr>
                        <w:t xml:space="preserve">Local </w:t>
                      </w:r>
                    </w:p>
                    <w:p w:rsidR="00BA6A34" w:rsidRPr="00CF5E30" w:rsidRDefault="00BA6A34" w:rsidP="00BA6A34">
                      <w:pPr>
                        <w:spacing w:after="0"/>
                        <w:rPr>
                          <w:rFonts w:ascii="Calibri" w:hAnsi="Calibri" w:cs="Arial"/>
                          <w:b/>
                          <w:color w:val="FFFFFF" w:themeColor="background1"/>
                          <w:sz w:val="16"/>
                          <w:szCs w:val="16"/>
                        </w:rPr>
                      </w:pPr>
                      <w:r w:rsidRPr="00CF5E30">
                        <w:rPr>
                          <w:rFonts w:ascii="Calibri" w:hAnsi="Calibri" w:cs="Arial"/>
                          <w:b/>
                          <w:color w:val="FFFFFF" w:themeColor="background1"/>
                          <w:sz w:val="16"/>
                          <w:szCs w:val="16"/>
                        </w:rPr>
                        <w:t xml:space="preserve">experience, knowledge </w:t>
                      </w:r>
                      <w:r w:rsidRPr="00CF5E30">
                        <w:rPr>
                          <w:rFonts w:ascii="Calibri" w:hAnsi="Calibri" w:cs="Arial"/>
                          <w:b/>
                          <w:color w:val="FFFFFF" w:themeColor="background1"/>
                          <w:sz w:val="16"/>
                          <w:szCs w:val="16"/>
                        </w:rPr>
                        <w:br/>
                        <w:t xml:space="preserve">of bushfire behaviour </w:t>
                      </w:r>
                    </w:p>
                    <w:p w:rsidR="00BA6A34" w:rsidRPr="00CF5E30" w:rsidRDefault="00BA6A34" w:rsidP="00CF5E30">
                      <w:pPr>
                        <w:jc w:val="center"/>
                        <w:rPr>
                          <w:rFonts w:ascii="Calibri" w:hAnsi="Calibri" w:cs="Arial"/>
                          <w:b/>
                          <w:color w:val="FFFFFF" w:themeColor="background1"/>
                          <w:sz w:val="16"/>
                          <w:szCs w:val="16"/>
                        </w:rPr>
                      </w:pPr>
                    </w:p>
                  </w:txbxContent>
                </v:textbox>
              </v:shape>
            </w:pict>
          </mc:Fallback>
        </mc:AlternateContent>
      </w:r>
    </w:p>
    <w:p w:rsidR="00CF5E30" w:rsidRPr="00BA6A34" w:rsidRDefault="00CF5E30" w:rsidP="00CD274F">
      <w:pPr>
        <w:pStyle w:val="A3HE"/>
        <w:rPr>
          <w:spacing w:val="-10"/>
          <w:sz w:val="34"/>
          <w:szCs w:val="34"/>
        </w:rPr>
      </w:pPr>
    </w:p>
    <w:p w:rsidR="00CF5E30" w:rsidRPr="00BA6A34" w:rsidRDefault="00CF5E30" w:rsidP="00CD274F">
      <w:pPr>
        <w:pStyle w:val="A3HE"/>
        <w:rPr>
          <w:spacing w:val="-10"/>
          <w:sz w:val="34"/>
          <w:szCs w:val="34"/>
        </w:rPr>
      </w:pPr>
    </w:p>
    <w:p w:rsidR="00CF5E30" w:rsidRPr="00BA6A34" w:rsidRDefault="002F35C1" w:rsidP="00CD274F">
      <w:pPr>
        <w:pStyle w:val="A3HE"/>
        <w:rPr>
          <w:spacing w:val="-10"/>
          <w:sz w:val="34"/>
          <w:szCs w:val="34"/>
        </w:rPr>
      </w:pPr>
      <w:r>
        <w:rPr>
          <w:noProof/>
          <w:spacing w:val="-10"/>
          <w:sz w:val="34"/>
          <w:szCs w:val="34"/>
        </w:rPr>
        <mc:AlternateContent>
          <mc:Choice Requires="wps">
            <w:drawing>
              <wp:anchor distT="0" distB="0" distL="114300" distR="114300" simplePos="0" relativeHeight="251686400" behindDoc="1" locked="0" layoutInCell="1" allowOverlap="1">
                <wp:simplePos x="0" y="0"/>
                <wp:positionH relativeFrom="column">
                  <wp:posOffset>735965</wp:posOffset>
                </wp:positionH>
                <wp:positionV relativeFrom="paragraph">
                  <wp:posOffset>71755</wp:posOffset>
                </wp:positionV>
                <wp:extent cx="1579245" cy="1015365"/>
                <wp:effectExtent l="0" t="0" r="1905" b="3810"/>
                <wp:wrapNone/>
                <wp:docPr id="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A6A34" w:rsidRDefault="00BA6A34" w:rsidP="00CF5E30">
                            <w:pPr>
                              <w:spacing w:after="0"/>
                              <w:jc w:val="center"/>
                              <w:rPr>
                                <w:rFonts w:cs="Arial"/>
                                <w:b/>
                                <w:color w:val="FFFFFF" w:themeColor="background1"/>
                                <w:sz w:val="16"/>
                                <w:szCs w:val="16"/>
                              </w:rPr>
                            </w:pPr>
                            <w:r>
                              <w:rPr>
                                <w:rFonts w:cs="Arial"/>
                                <w:b/>
                                <w:color w:val="FFFFFF" w:themeColor="background1"/>
                                <w:sz w:val="16"/>
                                <w:szCs w:val="16"/>
                              </w:rPr>
                              <w:t>Bushfire</w:t>
                            </w:r>
                          </w:p>
                          <w:p w:rsidR="00BA6A34" w:rsidRPr="00CF5E30" w:rsidRDefault="00BA6A34" w:rsidP="00CF5E30">
                            <w:pPr>
                              <w:jc w:val="center"/>
                              <w:rPr>
                                <w:rFonts w:cs="Arial"/>
                                <w:b/>
                                <w:color w:val="FFFFFF" w:themeColor="background1"/>
                                <w:sz w:val="16"/>
                                <w:szCs w:val="16"/>
                              </w:rPr>
                            </w:pPr>
                            <w:r w:rsidRPr="00CF5E30">
                              <w:rPr>
                                <w:rFonts w:cs="Arial"/>
                                <w:b/>
                                <w:color w:val="FFFFFF" w:themeColor="background1"/>
                                <w:sz w:val="16"/>
                                <w:szCs w:val="16"/>
                              </w:rPr>
                              <w:t>simulation with Phoenix</w:t>
                            </w:r>
                            <w:r w:rsidR="005A1B5A">
                              <w:rPr>
                                <w:rFonts w:cs="Arial"/>
                                <w:b/>
                                <w:color w:val="FFFFFF" w:themeColor="background1"/>
                                <w:sz w:val="16"/>
                                <w:szCs w:val="16"/>
                              </w:rPr>
                              <w:t xml:space="preserve"> </w:t>
                            </w:r>
                            <w:r w:rsidRPr="00CF5E30">
                              <w:rPr>
                                <w:rFonts w:cs="Arial"/>
                                <w:b/>
                                <w:color w:val="FFFFFF" w:themeColor="background1"/>
                                <w:sz w:val="16"/>
                                <w:szCs w:val="16"/>
                              </w:rPr>
                              <w:t>Rapidfire, inputs inc. fire data &amp; weather variables</w:t>
                            </w:r>
                          </w:p>
                          <w:p w:rsidR="00BA6A34" w:rsidRPr="00672D3E" w:rsidRDefault="00BA6A34" w:rsidP="00CF5E30">
                            <w:pPr>
                              <w:jc w:val="center"/>
                              <w:rPr>
                                <w:rFonts w:ascii="Arial" w:hAnsi="Arial" w:cs="Arial"/>
                                <w:color w:val="262626" w:themeColor="text1" w:themeTint="D9"/>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8" type="#_x0000_t202" style="position:absolute;margin-left:57.95pt;margin-top:5.65pt;width:124.35pt;height:79.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9eugIAAMI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" filled="f" stroked="f" strokeweight=".5pt">
                <v:textbox>
                  <w:txbxContent>
                    <w:p w:rsidR="00BA6A34" w:rsidRDefault="00BA6A34" w:rsidP="00CF5E30">
                      <w:pPr>
                        <w:spacing w:after="0"/>
                        <w:jc w:val="center"/>
                        <w:rPr>
                          <w:rFonts w:cs="Arial"/>
                          <w:b/>
                          <w:color w:val="FFFFFF" w:themeColor="background1"/>
                          <w:sz w:val="16"/>
                          <w:szCs w:val="16"/>
                        </w:rPr>
                      </w:pPr>
                      <w:r>
                        <w:rPr>
                          <w:rFonts w:cs="Arial"/>
                          <w:b/>
                          <w:color w:val="FFFFFF" w:themeColor="background1"/>
                          <w:sz w:val="16"/>
                          <w:szCs w:val="16"/>
                        </w:rPr>
                        <w:t>Bushfire</w:t>
                      </w:r>
                    </w:p>
                    <w:p w:rsidR="00BA6A34" w:rsidRPr="00CF5E30" w:rsidRDefault="00BA6A34" w:rsidP="00CF5E30">
                      <w:pPr>
                        <w:jc w:val="center"/>
                        <w:rPr>
                          <w:rFonts w:cs="Arial"/>
                          <w:b/>
                          <w:color w:val="FFFFFF" w:themeColor="background1"/>
                          <w:sz w:val="16"/>
                          <w:szCs w:val="16"/>
                        </w:rPr>
                      </w:pPr>
                      <w:r w:rsidRPr="00CF5E30">
                        <w:rPr>
                          <w:rFonts w:cs="Arial"/>
                          <w:b/>
                          <w:color w:val="FFFFFF" w:themeColor="background1"/>
                          <w:sz w:val="16"/>
                          <w:szCs w:val="16"/>
                        </w:rPr>
                        <w:t>simulation with Phoenix</w:t>
                      </w:r>
                      <w:r w:rsidR="005A1B5A">
                        <w:rPr>
                          <w:rFonts w:cs="Arial"/>
                          <w:b/>
                          <w:color w:val="FFFFFF" w:themeColor="background1"/>
                          <w:sz w:val="16"/>
                          <w:szCs w:val="16"/>
                        </w:rPr>
                        <w:t xml:space="preserve"> </w:t>
                      </w:r>
                      <w:r w:rsidRPr="00CF5E30">
                        <w:rPr>
                          <w:rFonts w:cs="Arial"/>
                          <w:b/>
                          <w:color w:val="FFFFFF" w:themeColor="background1"/>
                          <w:sz w:val="16"/>
                          <w:szCs w:val="16"/>
                        </w:rPr>
                        <w:t>Rapidfire, inputs inc. fire data &amp; weather variables</w:t>
                      </w:r>
                    </w:p>
                    <w:p w:rsidR="00BA6A34" w:rsidRPr="00672D3E" w:rsidRDefault="00BA6A34" w:rsidP="00CF5E30">
                      <w:pPr>
                        <w:jc w:val="center"/>
                        <w:rPr>
                          <w:rFonts w:ascii="Arial" w:hAnsi="Arial" w:cs="Arial"/>
                          <w:color w:val="262626" w:themeColor="text1" w:themeTint="D9"/>
                          <w:sz w:val="17"/>
                          <w:szCs w:val="17"/>
                        </w:rPr>
                      </w:pPr>
                    </w:p>
                  </w:txbxContent>
                </v:textbox>
              </v:shape>
            </w:pict>
          </mc:Fallback>
        </mc:AlternateContent>
      </w:r>
    </w:p>
    <w:p w:rsidR="00CF5E30" w:rsidRPr="00BA6A34" w:rsidRDefault="00CF5E30" w:rsidP="00CD274F">
      <w:pPr>
        <w:pStyle w:val="A3HE"/>
        <w:rPr>
          <w:spacing w:val="-10"/>
          <w:sz w:val="34"/>
          <w:szCs w:val="34"/>
        </w:rPr>
      </w:pPr>
    </w:p>
    <w:p w:rsidR="00CF5E30" w:rsidRPr="00BA6A34" w:rsidRDefault="00CF5E30" w:rsidP="00CD274F">
      <w:pPr>
        <w:pStyle w:val="A3HE"/>
        <w:rPr>
          <w:spacing w:val="-10"/>
          <w:sz w:val="34"/>
          <w:szCs w:val="34"/>
        </w:rPr>
      </w:pPr>
    </w:p>
    <w:p w:rsidR="00973C50" w:rsidRPr="00BA6A34" w:rsidRDefault="00973C50" w:rsidP="00CF5E30">
      <w:pPr>
        <w:pStyle w:val="Body"/>
        <w:rPr>
          <w:rStyle w:val="A3HEChar"/>
          <w:rFonts w:asciiTheme="minorHAnsi" w:hAnsiTheme="minorHAnsi"/>
        </w:rPr>
      </w:pPr>
    </w:p>
    <w:p w:rsidR="00CF5E30" w:rsidRPr="00BA6A34" w:rsidRDefault="00CF5E30" w:rsidP="00CF5E30">
      <w:pPr>
        <w:pStyle w:val="Body"/>
        <w:rPr>
          <w:rStyle w:val="A3HEChar"/>
          <w:rFonts w:asciiTheme="minorHAnsi" w:hAnsiTheme="minorHAnsi"/>
        </w:rPr>
      </w:pPr>
      <w:r w:rsidRPr="00BA6A34">
        <w:rPr>
          <w:rStyle w:val="A3HEChar"/>
          <w:rFonts w:asciiTheme="minorHAnsi" w:hAnsiTheme="minorHAnsi"/>
        </w:rPr>
        <w:t>How was the plan developed?</w:t>
      </w:r>
    </w:p>
    <w:p w:rsidR="00CF5E30" w:rsidRPr="00BA6A34" w:rsidRDefault="00CF5E30" w:rsidP="00CF5E30">
      <w:pPr>
        <w:pStyle w:val="Body"/>
        <w:rPr>
          <w:rFonts w:asciiTheme="minorHAnsi" w:hAnsiTheme="minorHAnsi"/>
        </w:rPr>
      </w:pPr>
      <w:r w:rsidRPr="00BA6A34">
        <w:rPr>
          <w:rFonts w:asciiTheme="minorHAnsi" w:hAnsiTheme="minorHAnsi"/>
        </w:rPr>
        <w:t>The DELWP/PV landscape project team gathered a database of assets used from a range of sources, including the Victorian Fire Risk Register, resulting in more than 11,000 assets listed in the Alpine and Greater Gippsland region.</w:t>
      </w:r>
    </w:p>
    <w:p w:rsidR="00CF5E30" w:rsidRPr="00BA6A34" w:rsidRDefault="00CF5E30" w:rsidP="00CF5E30">
      <w:pPr>
        <w:pStyle w:val="Body"/>
        <w:rPr>
          <w:rFonts w:asciiTheme="minorHAnsi" w:hAnsiTheme="minorHAnsi"/>
        </w:rPr>
      </w:pPr>
      <w:r w:rsidRPr="00BA6A34">
        <w:rPr>
          <w:rFonts w:asciiTheme="minorHAnsi" w:hAnsiTheme="minorHAnsi"/>
        </w:rPr>
        <w:t>The assets were then grouped according to PIPE$S categories (People, Infrastructure, Public Administration, Environment, Economy, Socio-Cultural). These defined assets such as transport, water supply, emergency facilities, built area zones, farming, forestry, tourism, Aboriginal cultural heritage, apiary, public buildings and natural assets.</w:t>
      </w:r>
    </w:p>
    <w:p w:rsidR="00CF5E30" w:rsidRPr="00BA6A34" w:rsidRDefault="00CF5E30" w:rsidP="00CF5E30">
      <w:pPr>
        <w:pStyle w:val="Body"/>
        <w:rPr>
          <w:rFonts w:asciiTheme="minorHAnsi" w:hAnsiTheme="minorHAnsi"/>
        </w:rPr>
      </w:pPr>
      <w:r w:rsidRPr="00BA6A34">
        <w:rPr>
          <w:rFonts w:asciiTheme="minorHAnsi" w:hAnsiTheme="minorHAnsi"/>
        </w:rPr>
        <w:t xml:space="preserve">These categories were then ranked by the IWG according to priority for protection from bushfire and whether the bushfire risk can be managed or reduced by DELWP/PV. The LRG were then given the opportunity to review the outcomes of this ranking process and to provide input. </w:t>
      </w:r>
    </w:p>
    <w:p w:rsidR="00CF5E30" w:rsidRPr="00BA6A34" w:rsidRDefault="00973C50" w:rsidP="00CF5E30">
      <w:pPr>
        <w:pStyle w:val="Body"/>
        <w:spacing w:after="80" w:line="259" w:lineRule="auto"/>
        <w:rPr>
          <w:rFonts w:asciiTheme="minorHAnsi" w:hAnsiTheme="minorHAnsi"/>
        </w:rPr>
      </w:pPr>
      <w:r w:rsidRPr="00BA6A34">
        <w:rPr>
          <w:rFonts w:asciiTheme="minorHAnsi" w:hAnsiTheme="minorHAnsi"/>
        </w:rPr>
        <w:t>Priority</w:t>
      </w:r>
      <w:r w:rsidR="00CF5E30" w:rsidRPr="00BA6A34">
        <w:rPr>
          <w:rFonts w:asciiTheme="minorHAnsi" w:hAnsiTheme="minorHAnsi"/>
        </w:rPr>
        <w:t xml:space="preserve"> assets identified by this process were;</w:t>
      </w:r>
    </w:p>
    <w:p w:rsidR="00CF5E30" w:rsidRPr="00BA6A34" w:rsidRDefault="00CF5E30" w:rsidP="00CF5E30">
      <w:pPr>
        <w:pStyle w:val="ListParagraph"/>
        <w:numPr>
          <w:ilvl w:val="0"/>
          <w:numId w:val="8"/>
        </w:numPr>
        <w:spacing w:after="80" w:line="220" w:lineRule="atLeast"/>
        <w:jc w:val="both"/>
        <w:rPr>
          <w:rFonts w:cs="Arial"/>
          <w:sz w:val="18"/>
          <w:szCs w:val="18"/>
        </w:rPr>
      </w:pPr>
      <w:r w:rsidRPr="00BA6A34">
        <w:rPr>
          <w:rFonts w:cs="Arial"/>
          <w:sz w:val="18"/>
          <w:szCs w:val="18"/>
        </w:rPr>
        <w:t>Life and property (address points)</w:t>
      </w:r>
    </w:p>
    <w:p w:rsidR="00CF5E30" w:rsidRPr="00BA6A34" w:rsidRDefault="00CF5E30" w:rsidP="00CF5E30">
      <w:pPr>
        <w:pStyle w:val="ListParagraph"/>
        <w:numPr>
          <w:ilvl w:val="0"/>
          <w:numId w:val="8"/>
        </w:numPr>
        <w:spacing w:after="80" w:line="220" w:lineRule="atLeast"/>
        <w:jc w:val="both"/>
        <w:rPr>
          <w:rFonts w:cs="Arial"/>
          <w:sz w:val="18"/>
          <w:szCs w:val="18"/>
        </w:rPr>
      </w:pPr>
      <w:r w:rsidRPr="00BA6A34">
        <w:rPr>
          <w:rFonts w:cs="Arial"/>
          <w:sz w:val="18"/>
          <w:szCs w:val="18"/>
        </w:rPr>
        <w:t>Ecosystem resilience</w:t>
      </w:r>
    </w:p>
    <w:p w:rsidR="00CF5E30" w:rsidRPr="00BA6A34" w:rsidRDefault="00CF5E30" w:rsidP="00CF5E30">
      <w:pPr>
        <w:pStyle w:val="ListParagraph"/>
        <w:numPr>
          <w:ilvl w:val="0"/>
          <w:numId w:val="8"/>
        </w:numPr>
        <w:spacing w:after="80" w:line="220" w:lineRule="atLeast"/>
        <w:jc w:val="both"/>
        <w:rPr>
          <w:rFonts w:cs="Arial"/>
          <w:sz w:val="18"/>
          <w:szCs w:val="18"/>
        </w:rPr>
      </w:pPr>
      <w:r w:rsidRPr="00BA6A34">
        <w:rPr>
          <w:rFonts w:cs="Arial"/>
          <w:sz w:val="18"/>
          <w:szCs w:val="18"/>
        </w:rPr>
        <w:t>Utility Infrastructure</w:t>
      </w:r>
    </w:p>
    <w:p w:rsidR="00CF5E30" w:rsidRPr="00BA6A34" w:rsidRDefault="00CF5E30" w:rsidP="00CF5E30">
      <w:pPr>
        <w:pStyle w:val="ListParagraph"/>
        <w:numPr>
          <w:ilvl w:val="0"/>
          <w:numId w:val="8"/>
        </w:numPr>
        <w:spacing w:after="80" w:line="220" w:lineRule="atLeast"/>
        <w:jc w:val="both"/>
        <w:rPr>
          <w:rFonts w:cs="Arial"/>
          <w:sz w:val="18"/>
          <w:szCs w:val="18"/>
        </w:rPr>
      </w:pPr>
      <w:r w:rsidRPr="00BA6A34">
        <w:rPr>
          <w:rFonts w:cs="Arial"/>
          <w:sz w:val="18"/>
          <w:szCs w:val="18"/>
        </w:rPr>
        <w:t>Utility networks</w:t>
      </w:r>
    </w:p>
    <w:p w:rsidR="00CF5E30" w:rsidRPr="00BA6A34" w:rsidRDefault="00CF5E30" w:rsidP="00CF5E30">
      <w:pPr>
        <w:pStyle w:val="ListParagraph"/>
        <w:numPr>
          <w:ilvl w:val="0"/>
          <w:numId w:val="8"/>
        </w:numPr>
        <w:spacing w:after="80" w:line="220" w:lineRule="atLeast"/>
        <w:rPr>
          <w:rFonts w:cs="Arial"/>
          <w:sz w:val="18"/>
          <w:szCs w:val="18"/>
        </w:rPr>
      </w:pPr>
      <w:r w:rsidRPr="00BA6A34">
        <w:rPr>
          <w:rFonts w:cs="Arial"/>
          <w:sz w:val="18"/>
          <w:szCs w:val="18"/>
        </w:rPr>
        <w:t>Communication infrastructure</w:t>
      </w:r>
    </w:p>
    <w:p w:rsidR="00CF5E30" w:rsidRPr="00BA6A34" w:rsidRDefault="00CF5E30" w:rsidP="00CF5E30">
      <w:pPr>
        <w:pStyle w:val="ListParagraph"/>
        <w:numPr>
          <w:ilvl w:val="0"/>
          <w:numId w:val="8"/>
        </w:numPr>
        <w:spacing w:after="80" w:line="220" w:lineRule="atLeast"/>
        <w:rPr>
          <w:rFonts w:cs="Arial"/>
          <w:sz w:val="18"/>
          <w:szCs w:val="18"/>
        </w:rPr>
      </w:pPr>
      <w:r w:rsidRPr="00BA6A34">
        <w:rPr>
          <w:rFonts w:cs="Arial"/>
          <w:sz w:val="18"/>
          <w:szCs w:val="18"/>
        </w:rPr>
        <w:t>Emergency facilities</w:t>
      </w:r>
    </w:p>
    <w:p w:rsidR="00CF5E30" w:rsidRPr="00BA6A34" w:rsidRDefault="00CF5E30" w:rsidP="00CF5E30">
      <w:pPr>
        <w:pStyle w:val="ListParagraph"/>
        <w:numPr>
          <w:ilvl w:val="0"/>
          <w:numId w:val="8"/>
        </w:numPr>
        <w:spacing w:after="80" w:line="220" w:lineRule="atLeast"/>
        <w:rPr>
          <w:rFonts w:cs="Arial"/>
          <w:sz w:val="18"/>
          <w:szCs w:val="18"/>
        </w:rPr>
      </w:pPr>
      <w:r w:rsidRPr="00BA6A34">
        <w:rPr>
          <w:rFonts w:cs="Arial"/>
          <w:sz w:val="18"/>
          <w:szCs w:val="18"/>
        </w:rPr>
        <w:t>Emergency infrastructure</w:t>
      </w:r>
    </w:p>
    <w:p w:rsidR="00CF5E30" w:rsidRPr="00BA6A34" w:rsidRDefault="00CF5E30" w:rsidP="00CF5E30">
      <w:pPr>
        <w:pStyle w:val="ListParagraph"/>
        <w:numPr>
          <w:ilvl w:val="0"/>
          <w:numId w:val="8"/>
        </w:numPr>
        <w:spacing w:after="80" w:line="220" w:lineRule="atLeast"/>
        <w:rPr>
          <w:rFonts w:cs="Arial"/>
          <w:sz w:val="18"/>
          <w:szCs w:val="18"/>
        </w:rPr>
      </w:pPr>
      <w:r w:rsidRPr="00BA6A34">
        <w:rPr>
          <w:rFonts w:cs="Arial"/>
          <w:sz w:val="18"/>
          <w:szCs w:val="18"/>
        </w:rPr>
        <w:t>Nationally important transport links</w:t>
      </w:r>
    </w:p>
    <w:p w:rsidR="00CF5E30" w:rsidRPr="00BA6A34" w:rsidRDefault="00CF5E30" w:rsidP="00CF5E30">
      <w:pPr>
        <w:pStyle w:val="ListParagraph"/>
        <w:numPr>
          <w:ilvl w:val="0"/>
          <w:numId w:val="8"/>
        </w:numPr>
        <w:spacing w:after="80" w:line="220" w:lineRule="atLeast"/>
        <w:rPr>
          <w:rFonts w:cs="Arial"/>
          <w:sz w:val="18"/>
          <w:szCs w:val="18"/>
        </w:rPr>
      </w:pPr>
      <w:r w:rsidRPr="00BA6A34">
        <w:rPr>
          <w:rFonts w:cs="Arial"/>
          <w:sz w:val="18"/>
          <w:szCs w:val="18"/>
        </w:rPr>
        <w:t>Community meeting places</w:t>
      </w:r>
    </w:p>
    <w:p w:rsidR="00CF5E30" w:rsidRPr="00BA6A34" w:rsidRDefault="00CF5E30" w:rsidP="00CF5E30">
      <w:pPr>
        <w:pStyle w:val="ListParagraph"/>
        <w:numPr>
          <w:ilvl w:val="0"/>
          <w:numId w:val="8"/>
        </w:numPr>
        <w:spacing w:after="80" w:line="220" w:lineRule="atLeast"/>
        <w:rPr>
          <w:rFonts w:cs="Arial"/>
          <w:sz w:val="18"/>
          <w:szCs w:val="18"/>
        </w:rPr>
      </w:pPr>
      <w:r w:rsidRPr="00BA6A34">
        <w:rPr>
          <w:rFonts w:cs="Arial"/>
          <w:sz w:val="18"/>
          <w:szCs w:val="18"/>
        </w:rPr>
        <w:t>Priority Habitat for Selected Species - Flora</w:t>
      </w:r>
    </w:p>
    <w:p w:rsidR="00CF5E30" w:rsidRPr="00BA6A34" w:rsidRDefault="00CF5E30" w:rsidP="00CF5E30">
      <w:pPr>
        <w:pStyle w:val="ListParagraph"/>
        <w:numPr>
          <w:ilvl w:val="0"/>
          <w:numId w:val="8"/>
        </w:numPr>
        <w:spacing w:after="80" w:line="220" w:lineRule="atLeast"/>
        <w:rPr>
          <w:rFonts w:cs="Arial"/>
          <w:sz w:val="18"/>
          <w:szCs w:val="18"/>
        </w:rPr>
      </w:pPr>
      <w:r w:rsidRPr="00BA6A34">
        <w:rPr>
          <w:rFonts w:cs="Arial"/>
          <w:sz w:val="18"/>
          <w:szCs w:val="18"/>
        </w:rPr>
        <w:lastRenderedPageBreak/>
        <w:t>Priority Habitat for Selected Species - Fauna</w:t>
      </w:r>
    </w:p>
    <w:p w:rsidR="00CF5E30" w:rsidRPr="00BA6A34" w:rsidRDefault="00CF5E30" w:rsidP="00CF5E30">
      <w:pPr>
        <w:pStyle w:val="ListParagraph"/>
        <w:numPr>
          <w:ilvl w:val="0"/>
          <w:numId w:val="8"/>
        </w:numPr>
        <w:spacing w:after="80" w:line="220" w:lineRule="atLeast"/>
        <w:rPr>
          <w:rFonts w:cs="Arial"/>
          <w:sz w:val="18"/>
          <w:szCs w:val="18"/>
        </w:rPr>
      </w:pPr>
      <w:r w:rsidRPr="00BA6A34">
        <w:rPr>
          <w:rFonts w:cs="Arial"/>
          <w:sz w:val="18"/>
          <w:szCs w:val="18"/>
        </w:rPr>
        <w:t>Listed Community - Fire Sensitive</w:t>
      </w:r>
    </w:p>
    <w:p w:rsidR="00CF5E30" w:rsidRPr="00BA6A34" w:rsidRDefault="00CF5E30" w:rsidP="00CF5E30">
      <w:pPr>
        <w:pStyle w:val="ListParagraph"/>
        <w:numPr>
          <w:ilvl w:val="0"/>
          <w:numId w:val="8"/>
        </w:numPr>
        <w:spacing w:after="80" w:line="220" w:lineRule="atLeast"/>
        <w:rPr>
          <w:rFonts w:cs="Arial"/>
          <w:sz w:val="18"/>
          <w:szCs w:val="18"/>
        </w:rPr>
      </w:pPr>
      <w:r w:rsidRPr="00BA6A34">
        <w:rPr>
          <w:rFonts w:cs="Arial"/>
          <w:sz w:val="18"/>
          <w:szCs w:val="18"/>
        </w:rPr>
        <w:t>Water Supply Catchment - high value areas</w:t>
      </w:r>
    </w:p>
    <w:p w:rsidR="00CF5E30" w:rsidRPr="00BA6A34" w:rsidRDefault="00CF5E30" w:rsidP="00CF5E30">
      <w:pPr>
        <w:pStyle w:val="ListParagraph"/>
        <w:numPr>
          <w:ilvl w:val="0"/>
          <w:numId w:val="8"/>
        </w:numPr>
        <w:spacing w:after="80" w:line="220" w:lineRule="atLeast"/>
        <w:rPr>
          <w:rFonts w:cs="Arial"/>
          <w:sz w:val="18"/>
          <w:szCs w:val="18"/>
        </w:rPr>
      </w:pPr>
      <w:r w:rsidRPr="00BA6A34">
        <w:rPr>
          <w:rFonts w:cs="Arial"/>
          <w:sz w:val="18"/>
          <w:szCs w:val="18"/>
        </w:rPr>
        <w:t>Camping assets</w:t>
      </w:r>
    </w:p>
    <w:p w:rsidR="00CF5E30" w:rsidRPr="00BA6A34" w:rsidRDefault="00CF5E30" w:rsidP="00CF5E30">
      <w:pPr>
        <w:pStyle w:val="ListParagraph"/>
        <w:numPr>
          <w:ilvl w:val="0"/>
          <w:numId w:val="8"/>
        </w:numPr>
        <w:spacing w:after="80" w:line="220" w:lineRule="atLeast"/>
        <w:rPr>
          <w:rFonts w:cs="Arial"/>
          <w:sz w:val="18"/>
          <w:szCs w:val="18"/>
        </w:rPr>
      </w:pPr>
      <w:r w:rsidRPr="00BA6A34">
        <w:rPr>
          <w:rFonts w:cs="Arial"/>
          <w:sz w:val="18"/>
          <w:szCs w:val="18"/>
        </w:rPr>
        <w:t>Tourist destinations</w:t>
      </w:r>
    </w:p>
    <w:p w:rsidR="00CF5E30" w:rsidRPr="00BA6A34" w:rsidRDefault="00CF5E30" w:rsidP="00CF5E30">
      <w:pPr>
        <w:spacing w:after="80" w:line="220" w:lineRule="atLeast"/>
        <w:ind w:left="207"/>
        <w:rPr>
          <w:rFonts w:cs="Arial"/>
          <w:sz w:val="18"/>
          <w:szCs w:val="18"/>
        </w:rPr>
      </w:pPr>
    </w:p>
    <w:p w:rsidR="00973C50" w:rsidRPr="00BA6A34" w:rsidRDefault="00CF5E30" w:rsidP="00973C50">
      <w:pPr>
        <w:pStyle w:val="Body"/>
        <w:rPr>
          <w:rFonts w:asciiTheme="minorHAnsi" w:hAnsiTheme="minorHAnsi"/>
        </w:rPr>
      </w:pPr>
      <w:r w:rsidRPr="00BA6A34">
        <w:rPr>
          <w:rFonts w:asciiTheme="minorHAnsi" w:hAnsiTheme="minorHAnsi"/>
        </w:rPr>
        <w:t>Once the priority asset categories had been identified, a process was undertaken to weight life and property and critical infrastructure assets. The figure below shows the outcome of this weighting process.</w:t>
      </w:r>
      <w:r w:rsidR="00973C50" w:rsidRPr="00BA6A34">
        <w:rPr>
          <w:rFonts w:asciiTheme="minorHAnsi" w:hAnsiTheme="minorHAnsi"/>
        </w:rPr>
        <w:t xml:space="preserve"> (For more information, see factsheet </w:t>
      </w:r>
      <w:r w:rsidR="00973C50" w:rsidRPr="00BA6A34">
        <w:rPr>
          <w:rFonts w:asciiTheme="minorHAnsi" w:hAnsiTheme="minorHAnsi"/>
          <w:b/>
          <w:i/>
        </w:rPr>
        <w:t>Assessing Risk</w:t>
      </w:r>
      <w:r w:rsidR="00973C50" w:rsidRPr="00BA6A34">
        <w:rPr>
          <w:rFonts w:asciiTheme="minorHAnsi" w:hAnsiTheme="minorHAnsi"/>
        </w:rPr>
        <w:t xml:space="preserve">.) </w:t>
      </w:r>
    </w:p>
    <w:p w:rsidR="00CF5E30" w:rsidRPr="00BA6A34" w:rsidRDefault="00CF5E30" w:rsidP="00CF5E30">
      <w:pPr>
        <w:pStyle w:val="Body"/>
        <w:ind w:left="207"/>
        <w:rPr>
          <w:rFonts w:asciiTheme="minorHAnsi" w:hAnsiTheme="minorHAnsi"/>
        </w:rPr>
      </w:pPr>
    </w:p>
    <w:p w:rsidR="00CF5E30" w:rsidRPr="00BA6A34" w:rsidRDefault="00CF5E30" w:rsidP="00CF5E30">
      <w:pPr>
        <w:pStyle w:val="Body"/>
        <w:keepNext/>
        <w:jc w:val="center"/>
        <w:rPr>
          <w:rFonts w:asciiTheme="minorHAnsi" w:hAnsiTheme="minorHAnsi"/>
        </w:rPr>
      </w:pPr>
      <w:r w:rsidRPr="00BA6A34">
        <w:rPr>
          <w:rFonts w:asciiTheme="minorHAnsi" w:hAnsiTheme="minorHAnsi"/>
          <w:noProof/>
        </w:rPr>
        <w:drawing>
          <wp:inline distT="0" distB="0" distL="0" distR="0">
            <wp:extent cx="3010705" cy="2181225"/>
            <wp:effectExtent l="19050" t="0" r="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pie char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5675" cy="2192071"/>
                    </a:xfrm>
                    <a:prstGeom prst="rect">
                      <a:avLst/>
                    </a:prstGeom>
                  </pic:spPr>
                </pic:pic>
              </a:graphicData>
            </a:graphic>
          </wp:inline>
        </w:drawing>
      </w:r>
    </w:p>
    <w:p w:rsidR="00CF5E30" w:rsidRPr="00BA6A34" w:rsidRDefault="00CF5E30" w:rsidP="00CF5E30">
      <w:pPr>
        <w:pStyle w:val="Caption"/>
        <w:rPr>
          <w:rFonts w:asciiTheme="minorHAnsi" w:hAnsiTheme="minorHAnsi"/>
        </w:rPr>
      </w:pPr>
      <w:r w:rsidRPr="00BA6A34">
        <w:rPr>
          <w:rFonts w:asciiTheme="minorHAnsi" w:hAnsiTheme="minorHAnsi"/>
        </w:rPr>
        <w:t xml:space="preserve">Figure </w:t>
      </w:r>
      <w:r w:rsidRPr="00BA6A34">
        <w:rPr>
          <w:rFonts w:asciiTheme="minorHAnsi" w:hAnsiTheme="minorHAnsi"/>
        </w:rPr>
        <w:fldChar w:fldCharType="begin"/>
      </w:r>
      <w:r w:rsidRPr="00BA6A34">
        <w:rPr>
          <w:rFonts w:asciiTheme="minorHAnsi" w:hAnsiTheme="minorHAnsi"/>
        </w:rPr>
        <w:instrText xml:space="preserve"> SEQ Figure \* ARABIC </w:instrText>
      </w:r>
      <w:r w:rsidRPr="00BA6A34">
        <w:rPr>
          <w:rFonts w:asciiTheme="minorHAnsi" w:hAnsiTheme="minorHAnsi"/>
        </w:rPr>
        <w:fldChar w:fldCharType="separate"/>
      </w:r>
      <w:r w:rsidR="00F5642C">
        <w:rPr>
          <w:rFonts w:asciiTheme="minorHAnsi" w:hAnsiTheme="minorHAnsi"/>
          <w:noProof/>
        </w:rPr>
        <w:t>1</w:t>
      </w:r>
      <w:r w:rsidRPr="00BA6A34">
        <w:rPr>
          <w:rFonts w:asciiTheme="minorHAnsi" w:hAnsiTheme="minorHAnsi"/>
        </w:rPr>
        <w:fldChar w:fldCharType="end"/>
      </w:r>
      <w:r w:rsidR="00973C50" w:rsidRPr="00BA6A34">
        <w:rPr>
          <w:rFonts w:asciiTheme="minorHAnsi" w:hAnsiTheme="minorHAnsi"/>
        </w:rPr>
        <w:t>.</w:t>
      </w:r>
      <w:r w:rsidRPr="00BA6A34">
        <w:rPr>
          <w:rFonts w:asciiTheme="minorHAnsi" w:hAnsiTheme="minorHAnsi"/>
        </w:rPr>
        <w:t xml:space="preserve"> Weighting assets</w:t>
      </w:r>
    </w:p>
    <w:p w:rsidR="00CF5E30" w:rsidRPr="00BA6A34" w:rsidRDefault="00CF5E30" w:rsidP="00CF5E30">
      <w:pPr>
        <w:pStyle w:val="Body"/>
        <w:rPr>
          <w:rFonts w:asciiTheme="minorHAnsi" w:hAnsiTheme="minorHAnsi"/>
        </w:rPr>
      </w:pPr>
      <w:r w:rsidRPr="00BA6A34">
        <w:rPr>
          <w:rFonts w:asciiTheme="minorHAnsi" w:hAnsiTheme="minorHAnsi"/>
        </w:rPr>
        <w:t>Priority asset categories from the Environment section of the PIPE$S framework were omitted from this</w:t>
      </w:r>
      <w:r w:rsidR="00C91294">
        <w:rPr>
          <w:rFonts w:asciiTheme="minorHAnsi" w:hAnsiTheme="minorHAnsi"/>
        </w:rPr>
        <w:t xml:space="preserve"> weighting, a</w:t>
      </w:r>
      <w:r w:rsidRPr="00BA6A34">
        <w:rPr>
          <w:rFonts w:asciiTheme="minorHAnsi" w:hAnsiTheme="minorHAnsi"/>
        </w:rPr>
        <w:t xml:space="preserve"> decision made by the Internal Working Group based on risk mapping that showed that reducing risk from bushfire to these assets would require extensive fuel treatment. This was due to their broad distribution and widespread nature. Such extensive fuel treatment posed two problems:</w:t>
      </w:r>
    </w:p>
    <w:p w:rsidR="00CF5E30" w:rsidRPr="00BA6A34" w:rsidRDefault="00CF5E30" w:rsidP="00CF5E30">
      <w:pPr>
        <w:pStyle w:val="Body"/>
        <w:numPr>
          <w:ilvl w:val="0"/>
          <w:numId w:val="9"/>
        </w:numPr>
        <w:rPr>
          <w:rFonts w:asciiTheme="minorHAnsi" w:hAnsiTheme="minorHAnsi"/>
        </w:rPr>
      </w:pPr>
      <w:r w:rsidRPr="00BA6A34">
        <w:rPr>
          <w:rFonts w:asciiTheme="minorHAnsi" w:hAnsiTheme="minorHAnsi"/>
        </w:rPr>
        <w:t>Reducing fuel over such extensive areas to reduce risk to one category of the PIPE$S framework would reduce the ability to address bushfire risk to other priority asset categories including life and property.</w:t>
      </w:r>
    </w:p>
    <w:p w:rsidR="00973C50" w:rsidRPr="00BA6A34" w:rsidRDefault="00CF5E30" w:rsidP="00973C50">
      <w:pPr>
        <w:pStyle w:val="Body"/>
        <w:numPr>
          <w:ilvl w:val="0"/>
          <w:numId w:val="9"/>
        </w:numPr>
        <w:rPr>
          <w:rFonts w:asciiTheme="minorHAnsi" w:hAnsiTheme="minorHAnsi"/>
        </w:rPr>
      </w:pPr>
      <w:r w:rsidRPr="00BA6A34">
        <w:rPr>
          <w:rFonts w:asciiTheme="minorHAnsi" w:hAnsiTheme="minorHAnsi"/>
        </w:rPr>
        <w:t xml:space="preserve">There was no ready means of identifying if risk reduction actions at such an extensive scale to protect priority environment assets from bushfire </w:t>
      </w:r>
      <w:r w:rsidR="00C91294">
        <w:rPr>
          <w:rFonts w:asciiTheme="minorHAnsi" w:hAnsiTheme="minorHAnsi"/>
        </w:rPr>
        <w:t xml:space="preserve">would </w:t>
      </w:r>
      <w:r w:rsidRPr="00BA6A34">
        <w:rPr>
          <w:rFonts w:asciiTheme="minorHAnsi" w:hAnsiTheme="minorHAnsi"/>
        </w:rPr>
        <w:t>cause worse ecological outcomes across the landscape than bushfire itsel</w:t>
      </w:r>
      <w:r w:rsidR="00973C50" w:rsidRPr="00BA6A34">
        <w:rPr>
          <w:rFonts w:asciiTheme="minorHAnsi" w:hAnsiTheme="minorHAnsi"/>
        </w:rPr>
        <w:t>f.</w:t>
      </w:r>
    </w:p>
    <w:p w:rsidR="00973C50" w:rsidRPr="00BA6A34" w:rsidRDefault="00973C50" w:rsidP="00973C50">
      <w:pPr>
        <w:pStyle w:val="Body"/>
        <w:rPr>
          <w:rFonts w:asciiTheme="minorHAnsi" w:hAnsiTheme="minorHAnsi"/>
        </w:rPr>
      </w:pPr>
      <w:r w:rsidRPr="00BA6A34">
        <w:rPr>
          <w:rFonts w:asciiTheme="minorHAnsi" w:hAnsiTheme="minorHAnsi"/>
        </w:rPr>
        <w:t>Each priority asset category was also allocated a ‘goal risk level’ to measure against as different strategies were developed and considered.</w:t>
      </w:r>
    </w:p>
    <w:p w:rsidR="00973C50" w:rsidRPr="00BA6A34" w:rsidRDefault="00C91294" w:rsidP="00973C50">
      <w:pPr>
        <w:pStyle w:val="Body"/>
        <w:rPr>
          <w:rFonts w:asciiTheme="minorHAnsi" w:hAnsiTheme="minorHAnsi"/>
          <w:noProof/>
        </w:rPr>
      </w:pPr>
      <w:r>
        <w:rPr>
          <w:rFonts w:asciiTheme="minorHAnsi" w:hAnsiTheme="minorHAnsi"/>
        </w:rPr>
        <w:t>The risk profiles w</w:t>
      </w:r>
      <w:r w:rsidR="00973C50" w:rsidRPr="00BA6A34">
        <w:rPr>
          <w:rFonts w:asciiTheme="minorHAnsi" w:hAnsiTheme="minorHAnsi"/>
        </w:rPr>
        <w:t xml:space="preserve">ere mapped on both a landscape scale and a district scale (there are three districts within the AGG landscape: Macalister, Snowy and Tambo). The Internal Working Group decided that district-scale </w:t>
      </w:r>
      <w:r w:rsidR="00973C50" w:rsidRPr="00BA6A34">
        <w:rPr>
          <w:rFonts w:asciiTheme="minorHAnsi" w:hAnsiTheme="minorHAnsi"/>
        </w:rPr>
        <w:lastRenderedPageBreak/>
        <w:t>mapping provided outcomes mostly closely in line with core objectives for the strategy.</w:t>
      </w:r>
      <w:r w:rsidR="00973C50" w:rsidRPr="00BA6A34">
        <w:rPr>
          <w:rFonts w:asciiTheme="minorHAnsi" w:hAnsiTheme="minorHAnsi"/>
          <w:noProof/>
        </w:rPr>
        <w:t xml:space="preserve"> </w:t>
      </w:r>
    </w:p>
    <w:p w:rsidR="00973C50" w:rsidRPr="00BA6A34" w:rsidRDefault="002F35C1" w:rsidP="00973C50">
      <w:pPr>
        <w:pStyle w:val="Body"/>
        <w:rPr>
          <w:rFonts w:asciiTheme="minorHAnsi" w:hAnsiTheme="minorHAnsi"/>
        </w:rPr>
      </w:pPr>
      <w:r>
        <w:rPr>
          <w:rFonts w:asciiTheme="minorHAnsi" w:hAnsiTheme="minorHAnsi"/>
          <w:noProof/>
        </w:rPr>
        <mc:AlternateContent>
          <mc:Choice Requires="wps">
            <w:drawing>
              <wp:anchor distT="45720" distB="45720" distL="114300" distR="114300" simplePos="0" relativeHeight="251675648" behindDoc="0" locked="0" layoutInCell="1" allowOverlap="1">
                <wp:simplePos x="0" y="0"/>
                <wp:positionH relativeFrom="column">
                  <wp:posOffset>1545590</wp:posOffset>
                </wp:positionH>
                <wp:positionV relativeFrom="paragraph">
                  <wp:posOffset>-29845</wp:posOffset>
                </wp:positionV>
                <wp:extent cx="1272540" cy="41465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14655"/>
                        </a:xfrm>
                        <a:prstGeom prst="rect">
                          <a:avLst/>
                        </a:prstGeom>
                        <a:noFill/>
                        <a:ln w="9525">
                          <a:noFill/>
                          <a:miter lim="800000"/>
                          <a:headEnd/>
                          <a:tailEnd/>
                        </a:ln>
                      </wps:spPr>
                      <wps:txbx>
                        <w:txbxContent>
                          <w:p w:rsidR="00BA6A34" w:rsidRPr="0047504B" w:rsidRDefault="00BA6A34" w:rsidP="004653EA">
                            <w:pPr>
                              <w:jc w:val="right"/>
                              <w:rPr>
                                <w:color w:val="215868" w:themeColor="accent5" w:themeShade="80"/>
                              </w:rPr>
                            </w:pPr>
                            <w:r>
                              <w:rPr>
                                <w:color w:val="215868" w:themeColor="accent5" w:themeShade="80"/>
                              </w:rPr>
                              <w:t>Landscape</w:t>
                            </w:r>
                            <w:r w:rsidRPr="0047504B">
                              <w:rPr>
                                <w:color w:val="215868" w:themeColor="accent5" w:themeShade="80"/>
                              </w:rPr>
                              <w:t xml:space="preserve"> scale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margin-left:121.7pt;margin-top:-2.35pt;width:100.2pt;height:32.65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" filled="f" stroked="f">
                <v:textbox style="mso-fit-shape-to-text:t">
                  <w:txbxContent>
                    <w:p w:rsidR="00BA6A34" w:rsidRPr="0047504B" w:rsidRDefault="00BA6A34" w:rsidP="004653EA">
                      <w:pPr>
                        <w:jc w:val="right"/>
                        <w:rPr>
                          <w:color w:val="215868" w:themeColor="accent5" w:themeShade="80"/>
                        </w:rPr>
                      </w:pPr>
                      <w:r>
                        <w:rPr>
                          <w:color w:val="215868" w:themeColor="accent5" w:themeShade="80"/>
                        </w:rPr>
                        <w:t>Landscape</w:t>
                      </w:r>
                      <w:r w:rsidRPr="0047504B">
                        <w:rPr>
                          <w:color w:val="215868" w:themeColor="accent5" w:themeShade="80"/>
                        </w:rPr>
                        <w:t xml:space="preserve"> scale</w:t>
                      </w:r>
                    </w:p>
                  </w:txbxContent>
                </v:textbox>
              </v:shape>
            </w:pict>
          </mc:Fallback>
        </mc:AlternateContent>
      </w:r>
      <w:r w:rsidR="00973C50" w:rsidRPr="00BA6A34">
        <w:rPr>
          <w:rFonts w:asciiTheme="minorHAnsi" w:hAnsiTheme="minorHAnsi"/>
          <w:noProof/>
        </w:rPr>
        <w:drawing>
          <wp:inline distT="0" distB="0" distL="0" distR="0">
            <wp:extent cx="2757600" cy="2057778"/>
            <wp:effectExtent l="0" t="0" r="5080" b="0"/>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trict v landscap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1994" cy="2061057"/>
                    </a:xfrm>
                    <a:prstGeom prst="rect">
                      <a:avLst/>
                    </a:prstGeom>
                  </pic:spPr>
                </pic:pic>
              </a:graphicData>
            </a:graphic>
          </wp:inline>
        </w:drawing>
      </w:r>
    </w:p>
    <w:p w:rsidR="00973C50" w:rsidRPr="00BA6A34" w:rsidRDefault="002F35C1" w:rsidP="00973C50">
      <w:pPr>
        <w:pStyle w:val="Body"/>
        <w:rPr>
          <w:rFonts w:asciiTheme="minorHAnsi" w:hAnsiTheme="minorHAnsi"/>
        </w:rPr>
      </w:pPr>
      <w:r>
        <w:rPr>
          <w:rFonts w:asciiTheme="minorHAnsi" w:hAnsiTheme="minorHAnsi"/>
          <w:noProof/>
        </w:rPr>
        <mc:AlternateContent>
          <mc:Choice Requires="wps">
            <w:drawing>
              <wp:anchor distT="45720" distB="45720" distL="114300" distR="114300" simplePos="0" relativeHeight="251671552" behindDoc="0" locked="0" layoutInCell="1" allowOverlap="1">
                <wp:simplePos x="0" y="0"/>
                <wp:positionH relativeFrom="column">
                  <wp:posOffset>1645920</wp:posOffset>
                </wp:positionH>
                <wp:positionV relativeFrom="paragraph">
                  <wp:posOffset>5715</wp:posOffset>
                </wp:positionV>
                <wp:extent cx="1172210" cy="41465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414655"/>
                        </a:xfrm>
                        <a:prstGeom prst="rect">
                          <a:avLst/>
                        </a:prstGeom>
                        <a:noFill/>
                        <a:ln w="9525">
                          <a:noFill/>
                          <a:miter lim="800000"/>
                          <a:headEnd/>
                          <a:tailEnd/>
                        </a:ln>
                      </wps:spPr>
                      <wps:txbx>
                        <w:txbxContent>
                          <w:p w:rsidR="00BA6A34" w:rsidRPr="0047504B" w:rsidRDefault="00BA6A34" w:rsidP="004653EA">
                            <w:pPr>
                              <w:jc w:val="right"/>
                              <w:rPr>
                                <w:color w:val="215868" w:themeColor="accent5" w:themeShade="80"/>
                              </w:rPr>
                            </w:pPr>
                            <w:r>
                              <w:rPr>
                                <w:color w:val="215868" w:themeColor="accent5" w:themeShade="80"/>
                              </w:rPr>
                              <w:t>District</w:t>
                            </w:r>
                            <w:r w:rsidRPr="0047504B">
                              <w:rPr>
                                <w:color w:val="215868" w:themeColor="accent5" w:themeShade="80"/>
                              </w:rPr>
                              <w:t xml:space="preserve"> scale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29.6pt;margin-top:.45pt;width:92.3pt;height:32.65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" filled="f" stroked="f">
                <v:textbox style="mso-fit-shape-to-text:t">
                  <w:txbxContent>
                    <w:p w:rsidR="00BA6A34" w:rsidRPr="0047504B" w:rsidRDefault="00BA6A34" w:rsidP="004653EA">
                      <w:pPr>
                        <w:jc w:val="right"/>
                        <w:rPr>
                          <w:color w:val="215868" w:themeColor="accent5" w:themeShade="80"/>
                        </w:rPr>
                      </w:pPr>
                      <w:r>
                        <w:rPr>
                          <w:color w:val="215868" w:themeColor="accent5" w:themeShade="80"/>
                        </w:rPr>
                        <w:t>District</w:t>
                      </w:r>
                      <w:r w:rsidRPr="0047504B">
                        <w:rPr>
                          <w:color w:val="215868" w:themeColor="accent5" w:themeShade="80"/>
                        </w:rPr>
                        <w:t xml:space="preserve"> scale</w:t>
                      </w:r>
                    </w:p>
                  </w:txbxContent>
                </v:textbox>
              </v:shape>
            </w:pict>
          </mc:Fallback>
        </mc:AlternateContent>
      </w:r>
      <w:r w:rsidR="00973C50" w:rsidRPr="00BA6A34">
        <w:rPr>
          <w:rFonts w:asciiTheme="minorHAnsi" w:hAnsiTheme="minorHAnsi"/>
          <w:noProof/>
        </w:rPr>
        <w:drawing>
          <wp:inline distT="0" distB="0" distL="0" distR="0">
            <wp:extent cx="2818617" cy="2023200"/>
            <wp:effectExtent l="0" t="0" r="1270" b="0"/>
            <wp:docPr id="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trict v landscap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617" cy="2023200"/>
                    </a:xfrm>
                    <a:prstGeom prst="rect">
                      <a:avLst/>
                    </a:prstGeom>
                  </pic:spPr>
                </pic:pic>
              </a:graphicData>
            </a:graphic>
          </wp:inline>
        </w:drawing>
      </w:r>
    </w:p>
    <w:p w:rsidR="00973C50" w:rsidRPr="00BA6A34" w:rsidRDefault="00973C50" w:rsidP="00973C50">
      <w:pPr>
        <w:pStyle w:val="Body"/>
        <w:rPr>
          <w:rFonts w:asciiTheme="minorHAnsi" w:hAnsiTheme="minorHAnsi"/>
        </w:rPr>
      </w:pPr>
    </w:p>
    <w:p w:rsidR="00973C50" w:rsidRPr="00BA6A34" w:rsidRDefault="00973C50" w:rsidP="00973C50">
      <w:pPr>
        <w:pStyle w:val="A3HE"/>
      </w:pPr>
      <w:r w:rsidRPr="00BA6A34">
        <w:t>Selecting the strategy</w:t>
      </w:r>
    </w:p>
    <w:p w:rsidR="00973C50" w:rsidRPr="00BA6A34" w:rsidRDefault="00973C50" w:rsidP="00973C50">
      <w:pPr>
        <w:pStyle w:val="Body"/>
        <w:rPr>
          <w:rFonts w:asciiTheme="minorHAnsi" w:hAnsiTheme="minorHAnsi"/>
        </w:rPr>
      </w:pPr>
      <w:r w:rsidRPr="00BA6A34">
        <w:rPr>
          <w:rFonts w:asciiTheme="minorHAnsi" w:hAnsiTheme="minorHAnsi"/>
        </w:rPr>
        <w:t xml:space="preserve">The working groups were presented with five possible strategies – each with different fuel treatment variations:  </w:t>
      </w:r>
    </w:p>
    <w:p w:rsidR="00973C50" w:rsidRPr="00BA6A34" w:rsidRDefault="00973C50" w:rsidP="00973C50">
      <w:pPr>
        <w:pStyle w:val="Body"/>
        <w:numPr>
          <w:ilvl w:val="0"/>
          <w:numId w:val="10"/>
        </w:numPr>
        <w:rPr>
          <w:rFonts w:asciiTheme="minorHAnsi" w:hAnsiTheme="minorHAnsi"/>
        </w:rPr>
      </w:pPr>
      <w:r w:rsidRPr="00BA6A34">
        <w:rPr>
          <w:rFonts w:asciiTheme="minorHAnsi" w:hAnsiTheme="minorHAnsi"/>
        </w:rPr>
        <w:t>Current Fire Management Zoning</w:t>
      </w:r>
    </w:p>
    <w:p w:rsidR="00973C50" w:rsidRPr="00BA6A34" w:rsidRDefault="00973C50" w:rsidP="00973C50">
      <w:pPr>
        <w:pStyle w:val="Body"/>
        <w:numPr>
          <w:ilvl w:val="0"/>
          <w:numId w:val="10"/>
        </w:numPr>
        <w:rPr>
          <w:rFonts w:asciiTheme="minorHAnsi" w:hAnsiTheme="minorHAnsi"/>
        </w:rPr>
      </w:pPr>
      <w:r w:rsidRPr="00BA6A34">
        <w:rPr>
          <w:rFonts w:asciiTheme="minorHAnsi" w:hAnsiTheme="minorHAnsi"/>
        </w:rPr>
        <w:t>Protection of human life and property ‘intensive’ program – focused on burning smaller areas, more often</w:t>
      </w:r>
    </w:p>
    <w:p w:rsidR="00973C50" w:rsidRPr="00BA6A34" w:rsidRDefault="00973C50" w:rsidP="00973C50">
      <w:pPr>
        <w:pStyle w:val="Body"/>
        <w:numPr>
          <w:ilvl w:val="0"/>
          <w:numId w:val="10"/>
        </w:numPr>
        <w:rPr>
          <w:rFonts w:asciiTheme="minorHAnsi" w:hAnsiTheme="minorHAnsi"/>
          <w:b/>
        </w:rPr>
      </w:pPr>
      <w:r w:rsidRPr="00BA6A34">
        <w:rPr>
          <w:rFonts w:asciiTheme="minorHAnsi" w:hAnsiTheme="minorHAnsi"/>
        </w:rPr>
        <w:t>Protection of human life and property ‘extensive’ program – which focussed on burning bigger areas, less often</w:t>
      </w:r>
    </w:p>
    <w:p w:rsidR="00973C50" w:rsidRPr="00BA6A34" w:rsidRDefault="002F35C1" w:rsidP="00973C50">
      <w:pPr>
        <w:pStyle w:val="Body"/>
        <w:numPr>
          <w:ilvl w:val="0"/>
          <w:numId w:val="10"/>
        </w:numPr>
        <w:rPr>
          <w:rFonts w:asciiTheme="minorHAnsi" w:hAnsiTheme="minorHAnsi"/>
          <w:b/>
        </w:rPr>
      </w:pPr>
      <w:r>
        <w:rPr>
          <w:rFonts w:asciiTheme="minorHAnsi" w:hAnsiTheme="minorHAnsi"/>
          <w:noProof/>
        </w:rPr>
        <mc:AlternateContent>
          <mc:Choice Requires="wps">
            <w:drawing>
              <wp:anchor distT="45720" distB="45720" distL="114300" distR="114300" simplePos="0" relativeHeight="251672576" behindDoc="1" locked="0" layoutInCell="1" allowOverlap="1">
                <wp:simplePos x="0" y="0"/>
                <wp:positionH relativeFrom="column">
                  <wp:posOffset>-69215</wp:posOffset>
                </wp:positionH>
                <wp:positionV relativeFrom="paragraph">
                  <wp:posOffset>-55880</wp:posOffset>
                </wp:positionV>
                <wp:extent cx="3185795" cy="5715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571500"/>
                        </a:xfrm>
                        <a:prstGeom prst="rect">
                          <a:avLst/>
                        </a:prstGeom>
                        <a:solidFill>
                          <a:schemeClr val="accent5">
                            <a:lumMod val="75000"/>
                            <a:alpha val="38000"/>
                          </a:schemeClr>
                        </a:solidFill>
                        <a:ln w="9525">
                          <a:noFill/>
                          <a:miter lim="800000"/>
                          <a:headEnd/>
                          <a:tailEnd/>
                        </a:ln>
                      </wps:spPr>
                      <wps:txbx>
                        <w:txbxContent>
                          <w:p w:rsidR="00BA6A34" w:rsidRDefault="00BA6A34" w:rsidP="00973C50">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45pt;margin-top:-4.4pt;width:250.85pt;height:4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" fillcolor="#31849b [2408]" stroked="f">
                <v:fill opacity="24929f"/>
                <v:textbox>
                  <w:txbxContent>
                    <w:p w:rsidR="00BA6A34" w:rsidRDefault="00BA6A34" w:rsidP="00973C50">
                      <w:r>
                        <w:t xml:space="preserve">   </w:t>
                      </w:r>
                    </w:p>
                  </w:txbxContent>
                </v:textbox>
              </v:shape>
            </w:pict>
          </mc:Fallback>
        </mc:AlternateContent>
      </w:r>
      <w:r w:rsidR="00973C50" w:rsidRPr="00BA6A34">
        <w:rPr>
          <w:rFonts w:asciiTheme="minorHAnsi" w:hAnsiTheme="minorHAnsi"/>
          <w:b/>
        </w:rPr>
        <w:t xml:space="preserve">Protection of both human life and property </w:t>
      </w:r>
      <w:r w:rsidR="00973C50" w:rsidRPr="00BA6A34">
        <w:rPr>
          <w:rFonts w:asciiTheme="minorHAnsi" w:hAnsiTheme="minorHAnsi"/>
          <w:b/>
          <w:u w:val="single"/>
        </w:rPr>
        <w:t>and</w:t>
      </w:r>
      <w:r w:rsidR="00973C50" w:rsidRPr="00BA6A34">
        <w:rPr>
          <w:rFonts w:asciiTheme="minorHAnsi" w:hAnsiTheme="minorHAnsi"/>
          <w:b/>
        </w:rPr>
        <w:t xml:space="preserve"> critical assets ‘intensive’ program - which focused on burning smaller areas more often.</w:t>
      </w:r>
    </w:p>
    <w:p w:rsidR="00973C50" w:rsidRPr="00BA6A34" w:rsidRDefault="00973C50" w:rsidP="00973C50">
      <w:pPr>
        <w:pStyle w:val="Body"/>
        <w:numPr>
          <w:ilvl w:val="0"/>
          <w:numId w:val="10"/>
        </w:numPr>
        <w:rPr>
          <w:rFonts w:asciiTheme="minorHAnsi" w:hAnsiTheme="minorHAnsi"/>
        </w:rPr>
      </w:pPr>
      <w:r w:rsidRPr="00BA6A34">
        <w:rPr>
          <w:rFonts w:asciiTheme="minorHAnsi" w:hAnsiTheme="minorHAnsi"/>
        </w:rPr>
        <w:t xml:space="preserve">Human life and property </w:t>
      </w:r>
      <w:r w:rsidRPr="00BA6A34">
        <w:rPr>
          <w:rFonts w:asciiTheme="minorHAnsi" w:hAnsiTheme="minorHAnsi"/>
          <w:u w:val="single"/>
        </w:rPr>
        <w:t>and</w:t>
      </w:r>
      <w:r w:rsidRPr="00BA6A34">
        <w:rPr>
          <w:rFonts w:asciiTheme="minorHAnsi" w:hAnsiTheme="minorHAnsi"/>
        </w:rPr>
        <w:t xml:space="preserve"> critical assets ‘extensive’ program - which focused on burning bigger areas less often. </w:t>
      </w:r>
    </w:p>
    <w:p w:rsidR="00973C50" w:rsidRPr="00BA6A34" w:rsidRDefault="00973C50" w:rsidP="00973C50">
      <w:pPr>
        <w:pStyle w:val="Body"/>
        <w:rPr>
          <w:rFonts w:asciiTheme="minorHAnsi" w:hAnsiTheme="minorHAnsi"/>
        </w:rPr>
      </w:pPr>
      <w:r w:rsidRPr="00BA6A34">
        <w:rPr>
          <w:rFonts w:asciiTheme="minorHAnsi" w:hAnsiTheme="minorHAnsi"/>
        </w:rPr>
        <w:t xml:space="preserve">As part of the strategy selection process, information was provided to members of the working groups for each strategy that included: </w:t>
      </w:r>
    </w:p>
    <w:p w:rsidR="00973C50" w:rsidRPr="00BA6A34" w:rsidRDefault="00973C50" w:rsidP="00973C50">
      <w:pPr>
        <w:pStyle w:val="Body"/>
        <w:numPr>
          <w:ilvl w:val="0"/>
          <w:numId w:val="11"/>
        </w:numPr>
        <w:rPr>
          <w:rFonts w:asciiTheme="minorHAnsi" w:hAnsiTheme="minorHAnsi"/>
        </w:rPr>
      </w:pPr>
      <w:r w:rsidRPr="00BA6A34">
        <w:rPr>
          <w:rFonts w:asciiTheme="minorHAnsi" w:hAnsiTheme="minorHAnsi"/>
        </w:rPr>
        <w:t>Proposed frequency of each treatment level.</w:t>
      </w:r>
    </w:p>
    <w:p w:rsidR="00973C50" w:rsidRPr="00BA6A34" w:rsidRDefault="00973C50" w:rsidP="00973C50">
      <w:pPr>
        <w:pStyle w:val="Body"/>
        <w:numPr>
          <w:ilvl w:val="0"/>
          <w:numId w:val="11"/>
        </w:numPr>
        <w:rPr>
          <w:rFonts w:asciiTheme="minorHAnsi" w:hAnsiTheme="minorHAnsi"/>
        </w:rPr>
      </w:pPr>
      <w:r w:rsidRPr="00BA6A34">
        <w:rPr>
          <w:rFonts w:asciiTheme="minorHAnsi" w:hAnsiTheme="minorHAnsi"/>
        </w:rPr>
        <w:lastRenderedPageBreak/>
        <w:t>Area statements for each proposed treatment level.</w:t>
      </w:r>
    </w:p>
    <w:p w:rsidR="00973C50" w:rsidRPr="00BA6A34" w:rsidRDefault="00973C50" w:rsidP="00973C50">
      <w:pPr>
        <w:pStyle w:val="Body"/>
        <w:numPr>
          <w:ilvl w:val="0"/>
          <w:numId w:val="11"/>
        </w:numPr>
        <w:rPr>
          <w:rFonts w:asciiTheme="minorHAnsi" w:hAnsiTheme="minorHAnsi"/>
        </w:rPr>
      </w:pPr>
      <w:r w:rsidRPr="00BA6A34">
        <w:rPr>
          <w:rFonts w:asciiTheme="minorHAnsi" w:hAnsiTheme="minorHAnsi"/>
        </w:rPr>
        <w:t>Residual risk outcomes for each asset categories.</w:t>
      </w:r>
    </w:p>
    <w:p w:rsidR="00973C50" w:rsidRPr="00BA6A34" w:rsidRDefault="00973C50" w:rsidP="00973C50">
      <w:pPr>
        <w:pStyle w:val="Body"/>
        <w:numPr>
          <w:ilvl w:val="0"/>
          <w:numId w:val="11"/>
        </w:numPr>
        <w:rPr>
          <w:rFonts w:asciiTheme="minorHAnsi" w:hAnsiTheme="minorHAnsi"/>
        </w:rPr>
      </w:pPr>
      <w:r w:rsidRPr="00BA6A34">
        <w:rPr>
          <w:rFonts w:asciiTheme="minorHAnsi" w:hAnsiTheme="minorHAnsi"/>
        </w:rPr>
        <w:t>An assessment of outcomes for goal risk levels of priority asset categories.</w:t>
      </w:r>
    </w:p>
    <w:p w:rsidR="00973C50" w:rsidRPr="00BA6A34" w:rsidRDefault="00973C50" w:rsidP="00973C50">
      <w:pPr>
        <w:pStyle w:val="Body"/>
        <w:numPr>
          <w:ilvl w:val="0"/>
          <w:numId w:val="11"/>
        </w:numPr>
        <w:rPr>
          <w:rFonts w:asciiTheme="minorHAnsi" w:hAnsiTheme="minorHAnsi"/>
        </w:rPr>
      </w:pPr>
      <w:r w:rsidRPr="00BA6A34">
        <w:rPr>
          <w:rFonts w:asciiTheme="minorHAnsi" w:hAnsiTheme="minorHAnsi"/>
        </w:rPr>
        <w:t>Tolerable Fire Interval assessment of proposed treatment levels</w:t>
      </w:r>
    </w:p>
    <w:p w:rsidR="00973C50" w:rsidRPr="00BA6A34" w:rsidRDefault="00973C50" w:rsidP="00973C50">
      <w:pPr>
        <w:pStyle w:val="Body"/>
        <w:rPr>
          <w:rFonts w:asciiTheme="minorHAnsi" w:hAnsiTheme="minorHAnsi"/>
        </w:rPr>
      </w:pPr>
      <w:r w:rsidRPr="00BA6A34">
        <w:rPr>
          <w:rFonts w:asciiTheme="minorHAnsi" w:hAnsiTheme="minorHAnsi"/>
        </w:rPr>
        <w:t xml:space="preserve">This information was used by the working group members to identify their preferred strategy from the 5 options. The preferred and selected strategy was number </w:t>
      </w:r>
      <w:proofErr w:type="spellStart"/>
      <w:r w:rsidRPr="00BA6A34">
        <w:rPr>
          <w:rFonts w:asciiTheme="minorHAnsi" w:hAnsiTheme="minorHAnsi"/>
        </w:rPr>
        <w:t>number</w:t>
      </w:r>
      <w:proofErr w:type="spellEnd"/>
      <w:r w:rsidRPr="00BA6A34">
        <w:rPr>
          <w:rFonts w:asciiTheme="minorHAnsi" w:hAnsiTheme="minorHAnsi"/>
        </w:rPr>
        <w:t xml:space="preserve"> 4 (described above and highlighted in the green box). This strategy forms the basis for implementing the strategic bushfire management plan. </w:t>
      </w:r>
    </w:p>
    <w:p w:rsidR="00973C50" w:rsidRPr="00BA6A34" w:rsidRDefault="00973C50" w:rsidP="00973C50">
      <w:pPr>
        <w:pStyle w:val="Body"/>
        <w:rPr>
          <w:rFonts w:asciiTheme="minorHAnsi" w:hAnsiTheme="minorHAnsi"/>
        </w:rPr>
      </w:pPr>
    </w:p>
    <w:p w:rsidR="00973C50" w:rsidRPr="00BA6A34" w:rsidRDefault="00973C50" w:rsidP="00973C50">
      <w:pPr>
        <w:pStyle w:val="A3HE"/>
      </w:pPr>
      <w:r w:rsidRPr="00BA6A34">
        <w:rPr>
          <w:noProof/>
        </w:rPr>
        <w:drawing>
          <wp:inline distT="0" distB="0" distL="0" distR="0">
            <wp:extent cx="2971594" cy="1980265"/>
            <wp:effectExtent l="0" t="0" r="635" b="1270"/>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ifts_creek_township_and_surrounding_hill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9547" cy="1985565"/>
                    </a:xfrm>
                    <a:prstGeom prst="rect">
                      <a:avLst/>
                    </a:prstGeom>
                  </pic:spPr>
                </pic:pic>
              </a:graphicData>
            </a:graphic>
          </wp:inline>
        </w:drawing>
      </w:r>
    </w:p>
    <w:p w:rsidR="00973C50" w:rsidRPr="00BA6A34" w:rsidRDefault="00973C50" w:rsidP="00973C50">
      <w:pPr>
        <w:pStyle w:val="A3HE"/>
        <w:rPr>
          <w:rStyle w:val="A3HEChar"/>
          <w:spacing w:val="-10"/>
        </w:rPr>
      </w:pPr>
      <w:r w:rsidRPr="00BA6A34">
        <w:rPr>
          <w:rStyle w:val="A3HEChar"/>
          <w:spacing w:val="-10"/>
        </w:rPr>
        <w:t>How will the plan be implemented?</w:t>
      </w:r>
    </w:p>
    <w:p w:rsidR="00973C50" w:rsidRPr="00BA6A34" w:rsidRDefault="00973C50" w:rsidP="00973C50">
      <w:pPr>
        <w:pStyle w:val="Body"/>
        <w:rPr>
          <w:rFonts w:asciiTheme="minorHAnsi" w:hAnsiTheme="minorHAnsi"/>
        </w:rPr>
        <w:sectPr w:rsidR="00973C50" w:rsidRPr="00BA6A34" w:rsidSect="00995D6E">
          <w:headerReference w:type="default" r:id="rId16"/>
          <w:pgSz w:w="11906" w:h="16838"/>
          <w:pgMar w:top="1560" w:right="707" w:bottom="1276" w:left="851" w:header="142" w:footer="578" w:gutter="0"/>
          <w:cols w:num="2" w:space="708"/>
          <w:docGrid w:linePitch="360"/>
        </w:sectPr>
      </w:pPr>
      <w:r w:rsidRPr="00BA6A34">
        <w:rPr>
          <w:rFonts w:asciiTheme="minorHAnsi" w:hAnsiTheme="minorHAnsi"/>
        </w:rPr>
        <w:t xml:space="preserve">The plan details a range of fuel management activities, including assigning fuel management zones that divide public land into: </w:t>
      </w:r>
      <w:r w:rsidRPr="00BA6A34">
        <w:rPr>
          <w:rFonts w:asciiTheme="minorHAnsi" w:hAnsiTheme="minorHAnsi"/>
          <w:b/>
        </w:rPr>
        <w:t>asset protection zones, bushfire moderation zones, landscape management zones and planned burn exclusion zones</w:t>
      </w:r>
      <w:r w:rsidRPr="00BA6A34">
        <w:rPr>
          <w:rFonts w:asciiTheme="minorHAnsi" w:hAnsiTheme="minorHAnsi"/>
        </w:rPr>
        <w:t xml:space="preserve">. Each zone is allocated a frequency of planned burning as outlined in the table below. The frequency of planned burning has been modified to accommodate the needs of specific priority plant and animal species. (For more information see Factsheet </w:t>
      </w:r>
      <w:r w:rsidRPr="00BA6A34">
        <w:rPr>
          <w:rFonts w:asciiTheme="minorHAnsi" w:hAnsiTheme="minorHAnsi"/>
          <w:b/>
        </w:rPr>
        <w:t>Environment</w:t>
      </w:r>
      <w:r w:rsidRPr="00BA6A34">
        <w:rPr>
          <w:rFonts w:asciiTheme="minorHAnsi" w:hAnsiTheme="minorHAnsi"/>
        </w:rPr>
        <w:t>)</w:t>
      </w:r>
    </w:p>
    <w:p w:rsidR="00CE4F57" w:rsidRPr="00BA6A34" w:rsidRDefault="00EC5FDD" w:rsidP="00EC5FDD">
      <w:pPr>
        <w:spacing w:after="0"/>
        <w:rPr>
          <w:rFonts w:cs="Arial"/>
          <w:sz w:val="20"/>
        </w:rPr>
      </w:pPr>
      <w:r w:rsidRPr="00BA6A34">
        <w:rPr>
          <w:rFonts w:cs="Arial"/>
          <w:noProof/>
          <w:sz w:val="20"/>
        </w:rPr>
        <w:lastRenderedPageBreak/>
        <w:drawing>
          <wp:inline distT="0" distB="0" distL="0" distR="0">
            <wp:extent cx="6496050" cy="4421753"/>
            <wp:effectExtent l="19050" t="0" r="0" b="0"/>
            <wp:docPr id="14" name="Picture 14" descr="R:\20-Preparedness\00-Activities\Strategic_Fire_Planning\Risk_Landscapes\Alpine and Greater Gippsland\SBMP\Spatial Data\20150526_Map10_FuelManagementStrate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20-Preparedness\00-Activities\Strategic_Fire_Planning\Risk_Landscapes\Alpine and Greater Gippsland\SBMP\Spatial Data\20150526_Map10_FuelManagementStrategy.png"/>
                    <pic:cNvPicPr>
                      <a:picLocks noChangeAspect="1" noChangeArrowheads="1"/>
                    </pic:cNvPicPr>
                  </pic:nvPicPr>
                  <pic:blipFill>
                    <a:blip r:embed="rId17" cstate="print"/>
                    <a:srcRect b="4203"/>
                    <a:stretch>
                      <a:fillRect/>
                    </a:stretch>
                  </pic:blipFill>
                  <pic:spPr bwMode="auto">
                    <a:xfrm>
                      <a:off x="0" y="0"/>
                      <a:ext cx="6494450" cy="4420664"/>
                    </a:xfrm>
                    <a:prstGeom prst="rect">
                      <a:avLst/>
                    </a:prstGeom>
                    <a:noFill/>
                    <a:ln w="9525">
                      <a:noFill/>
                      <a:miter lim="800000"/>
                      <a:headEnd/>
                      <a:tailEnd/>
                    </a:ln>
                  </pic:spPr>
                </pic:pic>
              </a:graphicData>
            </a:graphic>
          </wp:inline>
        </w:drawing>
      </w:r>
    </w:p>
    <w:p w:rsidR="00EC5FDD" w:rsidRPr="00BA6A34" w:rsidRDefault="00EC5FDD" w:rsidP="00EC5FDD">
      <w:pPr>
        <w:pStyle w:val="Caption"/>
        <w:jc w:val="center"/>
        <w:rPr>
          <w:rFonts w:asciiTheme="minorHAnsi" w:hAnsiTheme="minorHAnsi"/>
          <w:color w:val="31849B" w:themeColor="accent5" w:themeShade="BF"/>
          <w:sz w:val="24"/>
          <w:szCs w:val="24"/>
        </w:rPr>
      </w:pPr>
      <w:r w:rsidRPr="00BA6A34">
        <w:rPr>
          <w:rFonts w:asciiTheme="minorHAnsi" w:hAnsiTheme="minorHAnsi"/>
          <w:color w:val="31849B" w:themeColor="accent5" w:themeShade="BF"/>
          <w:sz w:val="24"/>
          <w:szCs w:val="24"/>
        </w:rPr>
        <w:t>Alpine and Greater Gippsland Fuel Management Strategy</w:t>
      </w:r>
    </w:p>
    <w:tbl>
      <w:tblPr>
        <w:tblStyle w:val="TableGrid"/>
        <w:tblW w:w="10206" w:type="dxa"/>
        <w:tblInd w:w="108" w:type="dxa"/>
        <w:tbl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insideH w:val="single" w:sz="6" w:space="0" w:color="31849B" w:themeColor="accent5" w:themeShade="BF"/>
          <w:insideV w:val="single" w:sz="6" w:space="0" w:color="31849B" w:themeColor="accent5" w:themeShade="BF"/>
        </w:tblBorders>
        <w:tblLook w:val="04A0" w:firstRow="1" w:lastRow="0" w:firstColumn="1" w:lastColumn="0" w:noHBand="0" w:noVBand="1"/>
      </w:tblPr>
      <w:tblGrid>
        <w:gridCol w:w="1985"/>
        <w:gridCol w:w="4111"/>
        <w:gridCol w:w="2028"/>
        <w:gridCol w:w="2082"/>
      </w:tblGrid>
      <w:tr w:rsidR="00973C50" w:rsidRPr="00BA6A34" w:rsidTr="00BA6A34">
        <w:trPr>
          <w:trHeight w:val="405"/>
        </w:trPr>
        <w:tc>
          <w:tcPr>
            <w:tcW w:w="1985" w:type="dxa"/>
            <w:shd w:val="clear" w:color="auto" w:fill="31849B" w:themeFill="accent5" w:themeFillShade="BF"/>
          </w:tcPr>
          <w:p w:rsidR="00973C50" w:rsidRPr="00BA6A34" w:rsidRDefault="00973C50" w:rsidP="00973C50">
            <w:pPr>
              <w:pStyle w:val="Body"/>
              <w:spacing w:before="120" w:after="120" w:line="240" w:lineRule="auto"/>
              <w:ind w:left="113" w:right="57"/>
              <w:rPr>
                <w:rFonts w:asciiTheme="minorHAnsi" w:hAnsiTheme="minorHAnsi"/>
                <w:b/>
                <w:color w:val="FFFFFF" w:themeColor="background1"/>
                <w:sz w:val="18"/>
                <w:szCs w:val="18"/>
              </w:rPr>
            </w:pPr>
            <w:r w:rsidRPr="00BA6A34">
              <w:rPr>
                <w:rFonts w:asciiTheme="minorHAnsi" w:hAnsiTheme="minorHAnsi"/>
                <w:b/>
                <w:color w:val="FFFFFF" w:themeColor="background1"/>
                <w:sz w:val="18"/>
                <w:szCs w:val="18"/>
              </w:rPr>
              <w:t>Zone</w:t>
            </w:r>
          </w:p>
        </w:tc>
        <w:tc>
          <w:tcPr>
            <w:tcW w:w="4111" w:type="dxa"/>
            <w:shd w:val="clear" w:color="auto" w:fill="31849B" w:themeFill="accent5" w:themeFillShade="BF"/>
          </w:tcPr>
          <w:p w:rsidR="00973C50" w:rsidRPr="00BA6A34" w:rsidRDefault="00973C50" w:rsidP="00973C50">
            <w:pPr>
              <w:pStyle w:val="Body"/>
              <w:spacing w:before="120" w:after="120" w:line="240" w:lineRule="auto"/>
              <w:ind w:left="113" w:right="57"/>
              <w:rPr>
                <w:rFonts w:asciiTheme="minorHAnsi" w:hAnsiTheme="minorHAnsi"/>
                <w:b/>
                <w:color w:val="FFFFFF" w:themeColor="background1"/>
                <w:sz w:val="18"/>
                <w:szCs w:val="18"/>
              </w:rPr>
            </w:pPr>
            <w:r w:rsidRPr="00BA6A34">
              <w:rPr>
                <w:rFonts w:asciiTheme="minorHAnsi" w:hAnsiTheme="minorHAnsi"/>
                <w:b/>
                <w:color w:val="FFFFFF" w:themeColor="background1"/>
                <w:sz w:val="18"/>
                <w:szCs w:val="18"/>
              </w:rPr>
              <w:t>Description</w:t>
            </w:r>
          </w:p>
        </w:tc>
        <w:tc>
          <w:tcPr>
            <w:tcW w:w="2028" w:type="dxa"/>
            <w:shd w:val="clear" w:color="auto" w:fill="31849B" w:themeFill="accent5" w:themeFillShade="BF"/>
          </w:tcPr>
          <w:p w:rsidR="00973C50" w:rsidRPr="00BA6A34" w:rsidRDefault="00973C50" w:rsidP="00973C50">
            <w:pPr>
              <w:pStyle w:val="Dotpoint"/>
              <w:numPr>
                <w:ilvl w:val="0"/>
                <w:numId w:val="0"/>
              </w:numPr>
              <w:spacing w:before="120" w:after="120"/>
              <w:ind w:left="113" w:right="57"/>
              <w:rPr>
                <w:rFonts w:asciiTheme="minorHAnsi" w:hAnsiTheme="minorHAnsi" w:cs="Arial"/>
                <w:b/>
                <w:color w:val="FFFFFF" w:themeColor="background1"/>
                <w:sz w:val="18"/>
                <w:szCs w:val="18"/>
              </w:rPr>
            </w:pPr>
            <w:r w:rsidRPr="00BA6A34">
              <w:rPr>
                <w:rFonts w:asciiTheme="minorHAnsi" w:hAnsiTheme="minorHAnsi" w:cs="Arial"/>
                <w:b/>
                <w:color w:val="FFFFFF" w:themeColor="background1"/>
                <w:sz w:val="18"/>
                <w:szCs w:val="18"/>
                <w:lang w:val="en-AU"/>
              </w:rPr>
              <w:t>Frequency</w:t>
            </w:r>
          </w:p>
        </w:tc>
        <w:tc>
          <w:tcPr>
            <w:tcW w:w="2082" w:type="dxa"/>
            <w:shd w:val="clear" w:color="auto" w:fill="31849B" w:themeFill="accent5" w:themeFillShade="BF"/>
          </w:tcPr>
          <w:p w:rsidR="00973C50" w:rsidRPr="00BA6A34" w:rsidRDefault="00973C50" w:rsidP="00BA6A34">
            <w:pPr>
              <w:pStyle w:val="Body"/>
              <w:spacing w:before="120" w:after="120" w:line="240" w:lineRule="auto"/>
              <w:ind w:left="113" w:right="57"/>
              <w:jc w:val="center"/>
              <w:rPr>
                <w:rFonts w:asciiTheme="minorHAnsi" w:hAnsiTheme="minorHAnsi"/>
                <w:b/>
                <w:color w:val="FFFFFF" w:themeColor="background1"/>
                <w:sz w:val="18"/>
                <w:szCs w:val="18"/>
              </w:rPr>
            </w:pPr>
            <w:r w:rsidRPr="00BA6A34">
              <w:rPr>
                <w:rFonts w:asciiTheme="minorHAnsi" w:hAnsiTheme="minorHAnsi"/>
                <w:b/>
                <w:color w:val="FFFFFF" w:themeColor="background1"/>
                <w:sz w:val="18"/>
                <w:szCs w:val="18"/>
              </w:rPr>
              <w:t>Area</w:t>
            </w:r>
          </w:p>
        </w:tc>
      </w:tr>
      <w:tr w:rsidR="00973C50" w:rsidRPr="00BA6A34" w:rsidTr="00BA6A34">
        <w:tc>
          <w:tcPr>
            <w:tcW w:w="1985" w:type="dxa"/>
          </w:tcPr>
          <w:p w:rsidR="00973C50" w:rsidRPr="00BA6A34" w:rsidRDefault="00973C50" w:rsidP="00973C50">
            <w:pPr>
              <w:pStyle w:val="Body"/>
              <w:spacing w:after="0"/>
              <w:ind w:left="113" w:right="57"/>
              <w:rPr>
                <w:rFonts w:asciiTheme="minorHAnsi" w:hAnsiTheme="minorHAnsi"/>
                <w:color w:val="0D0D0D" w:themeColor="text1" w:themeTint="F2"/>
                <w:sz w:val="16"/>
                <w:szCs w:val="18"/>
              </w:rPr>
            </w:pPr>
            <w:r w:rsidRPr="00BA6A34">
              <w:rPr>
                <w:rFonts w:asciiTheme="minorHAnsi" w:hAnsiTheme="minorHAnsi"/>
                <w:b/>
                <w:color w:val="0D0D0D" w:themeColor="text1" w:themeTint="F2"/>
                <w:sz w:val="16"/>
                <w:szCs w:val="18"/>
              </w:rPr>
              <w:t>Asset Protection Zone</w:t>
            </w:r>
          </w:p>
        </w:tc>
        <w:tc>
          <w:tcPr>
            <w:tcW w:w="4111" w:type="dxa"/>
          </w:tcPr>
          <w:p w:rsidR="00973C50" w:rsidRPr="00BA6A34" w:rsidRDefault="00973C50" w:rsidP="00973C50">
            <w:pPr>
              <w:pStyle w:val="Body"/>
              <w:spacing w:after="0"/>
              <w:ind w:left="113" w:right="57"/>
              <w:rPr>
                <w:rFonts w:asciiTheme="minorHAnsi" w:hAnsiTheme="minorHAnsi"/>
                <w:sz w:val="16"/>
                <w:szCs w:val="18"/>
              </w:rPr>
            </w:pPr>
            <w:r w:rsidRPr="00BA6A34">
              <w:rPr>
                <w:rFonts w:asciiTheme="minorHAnsi" w:hAnsiTheme="minorHAnsi"/>
                <w:sz w:val="16"/>
                <w:szCs w:val="18"/>
              </w:rPr>
              <w:t>Intensive fuel management area around properties and infrastructure to provide local protection, to reduce radiant heat and ember attack on life and property in the event of a bushfire.</w:t>
            </w:r>
          </w:p>
        </w:tc>
        <w:tc>
          <w:tcPr>
            <w:tcW w:w="2028" w:type="dxa"/>
          </w:tcPr>
          <w:p w:rsidR="00973C50" w:rsidRPr="00BA6A34" w:rsidRDefault="00973C50" w:rsidP="00973C50">
            <w:pPr>
              <w:pStyle w:val="Dotpoint"/>
              <w:numPr>
                <w:ilvl w:val="0"/>
                <w:numId w:val="0"/>
              </w:numPr>
              <w:spacing w:after="0"/>
              <w:ind w:left="113" w:right="57"/>
              <w:rPr>
                <w:rFonts w:asciiTheme="minorHAnsi" w:hAnsiTheme="minorHAnsi"/>
                <w:sz w:val="16"/>
                <w:szCs w:val="18"/>
              </w:rPr>
            </w:pPr>
            <w:r w:rsidRPr="00BA6A34">
              <w:rPr>
                <w:rFonts w:asciiTheme="minorHAnsi" w:hAnsiTheme="minorHAnsi"/>
                <w:sz w:val="16"/>
                <w:szCs w:val="18"/>
                <w:lang w:val="en-AU"/>
              </w:rPr>
              <w:t>Every five years</w:t>
            </w:r>
          </w:p>
        </w:tc>
        <w:tc>
          <w:tcPr>
            <w:tcW w:w="2082" w:type="dxa"/>
          </w:tcPr>
          <w:p w:rsidR="00973C50" w:rsidRPr="00BA6A34" w:rsidRDefault="00973C50" w:rsidP="00BA6A34">
            <w:pPr>
              <w:pStyle w:val="Body"/>
              <w:spacing w:after="0"/>
              <w:ind w:left="113" w:right="57"/>
              <w:jc w:val="center"/>
              <w:rPr>
                <w:rFonts w:asciiTheme="minorHAnsi" w:hAnsiTheme="minorHAnsi"/>
                <w:sz w:val="16"/>
                <w:szCs w:val="18"/>
              </w:rPr>
            </w:pPr>
            <w:r w:rsidRPr="00BA6A34">
              <w:rPr>
                <w:rFonts w:asciiTheme="minorHAnsi" w:hAnsiTheme="minorHAnsi"/>
                <w:sz w:val="16"/>
                <w:szCs w:val="18"/>
              </w:rPr>
              <w:t>Total 47,000 ha</w:t>
            </w:r>
          </w:p>
        </w:tc>
      </w:tr>
      <w:tr w:rsidR="00973C50" w:rsidRPr="00BA6A34" w:rsidTr="00BA6A34">
        <w:tc>
          <w:tcPr>
            <w:tcW w:w="1985" w:type="dxa"/>
          </w:tcPr>
          <w:p w:rsidR="00973C50" w:rsidRPr="00BA6A34" w:rsidRDefault="00973C50" w:rsidP="00973C50">
            <w:pPr>
              <w:pStyle w:val="Body"/>
              <w:spacing w:after="0"/>
              <w:ind w:left="113" w:right="57"/>
              <w:rPr>
                <w:rFonts w:asciiTheme="minorHAnsi" w:hAnsiTheme="minorHAnsi"/>
                <w:color w:val="0D0D0D" w:themeColor="text1" w:themeTint="F2"/>
                <w:sz w:val="16"/>
                <w:szCs w:val="18"/>
              </w:rPr>
            </w:pPr>
            <w:r w:rsidRPr="00BA6A34">
              <w:rPr>
                <w:rFonts w:asciiTheme="minorHAnsi" w:hAnsiTheme="minorHAnsi"/>
                <w:b/>
                <w:color w:val="0D0D0D" w:themeColor="text1" w:themeTint="F2"/>
                <w:sz w:val="16"/>
                <w:szCs w:val="18"/>
              </w:rPr>
              <w:t>Bushfire Moderation Zone</w:t>
            </w:r>
          </w:p>
        </w:tc>
        <w:tc>
          <w:tcPr>
            <w:tcW w:w="4111" w:type="dxa"/>
          </w:tcPr>
          <w:p w:rsidR="00973C50" w:rsidRPr="00BA6A34" w:rsidRDefault="00973C50" w:rsidP="00973C50">
            <w:pPr>
              <w:pStyle w:val="Body"/>
              <w:spacing w:after="0"/>
              <w:ind w:left="113" w:right="57"/>
              <w:rPr>
                <w:rFonts w:asciiTheme="minorHAnsi" w:hAnsiTheme="minorHAnsi"/>
                <w:sz w:val="16"/>
                <w:szCs w:val="18"/>
              </w:rPr>
            </w:pPr>
            <w:r w:rsidRPr="00BA6A34">
              <w:rPr>
                <w:rFonts w:asciiTheme="minorHAnsi" w:hAnsiTheme="minorHAnsi"/>
                <w:sz w:val="16"/>
                <w:szCs w:val="18"/>
              </w:rPr>
              <w:t>Managing fuel hazard to reduce the speed and intensity of bushfires, and to protect nearby assets, particularly from ember attack. We will alter the fuel management regime in some burn units in this zone to meet ecological objectives</w:t>
            </w:r>
          </w:p>
        </w:tc>
        <w:tc>
          <w:tcPr>
            <w:tcW w:w="2028" w:type="dxa"/>
          </w:tcPr>
          <w:p w:rsidR="00973C50" w:rsidRPr="00BA6A34" w:rsidRDefault="00973C50" w:rsidP="00973C50">
            <w:pPr>
              <w:pStyle w:val="Body"/>
              <w:spacing w:after="0"/>
              <w:ind w:left="113" w:right="57"/>
              <w:rPr>
                <w:rFonts w:asciiTheme="minorHAnsi" w:hAnsiTheme="minorHAnsi"/>
                <w:sz w:val="16"/>
                <w:szCs w:val="18"/>
              </w:rPr>
            </w:pPr>
            <w:r w:rsidRPr="00BA6A34">
              <w:rPr>
                <w:rFonts w:asciiTheme="minorHAnsi" w:hAnsiTheme="minorHAnsi"/>
                <w:sz w:val="16"/>
                <w:szCs w:val="18"/>
              </w:rPr>
              <w:t>Every eight years</w:t>
            </w:r>
          </w:p>
        </w:tc>
        <w:tc>
          <w:tcPr>
            <w:tcW w:w="2082" w:type="dxa"/>
          </w:tcPr>
          <w:p w:rsidR="00973C50" w:rsidRPr="00BA6A34" w:rsidRDefault="00973C50" w:rsidP="00BA6A34">
            <w:pPr>
              <w:pStyle w:val="Body"/>
              <w:spacing w:after="0"/>
              <w:ind w:left="113" w:right="57"/>
              <w:jc w:val="center"/>
              <w:rPr>
                <w:rFonts w:asciiTheme="minorHAnsi" w:hAnsiTheme="minorHAnsi"/>
                <w:sz w:val="16"/>
                <w:szCs w:val="18"/>
              </w:rPr>
            </w:pPr>
            <w:r w:rsidRPr="00BA6A34">
              <w:rPr>
                <w:rFonts w:asciiTheme="minorHAnsi" w:hAnsiTheme="minorHAnsi"/>
                <w:sz w:val="16"/>
                <w:szCs w:val="18"/>
              </w:rPr>
              <w:t>Total 486,600 ha</w:t>
            </w:r>
          </w:p>
        </w:tc>
      </w:tr>
      <w:tr w:rsidR="00973C50" w:rsidRPr="00BA6A34" w:rsidTr="00BA6A34">
        <w:tc>
          <w:tcPr>
            <w:tcW w:w="1985" w:type="dxa"/>
          </w:tcPr>
          <w:p w:rsidR="00973C50" w:rsidRPr="00BA6A34" w:rsidRDefault="00973C50" w:rsidP="00973C50">
            <w:pPr>
              <w:pStyle w:val="Body"/>
              <w:spacing w:after="0"/>
              <w:ind w:left="113" w:right="57"/>
              <w:rPr>
                <w:rFonts w:asciiTheme="minorHAnsi" w:hAnsiTheme="minorHAnsi"/>
                <w:color w:val="0D0D0D" w:themeColor="text1" w:themeTint="F2"/>
                <w:sz w:val="16"/>
                <w:szCs w:val="18"/>
              </w:rPr>
            </w:pPr>
            <w:r w:rsidRPr="00BA6A34">
              <w:rPr>
                <w:rFonts w:asciiTheme="minorHAnsi" w:hAnsiTheme="minorHAnsi"/>
                <w:b/>
                <w:color w:val="0D0D0D" w:themeColor="text1" w:themeTint="F2"/>
                <w:sz w:val="16"/>
                <w:szCs w:val="18"/>
              </w:rPr>
              <w:t>Landscape Management Zone</w:t>
            </w:r>
          </w:p>
        </w:tc>
        <w:tc>
          <w:tcPr>
            <w:tcW w:w="4111" w:type="dxa"/>
          </w:tcPr>
          <w:p w:rsidR="00973C50" w:rsidRPr="00BA6A34" w:rsidRDefault="00973C50" w:rsidP="00973C50">
            <w:pPr>
              <w:pStyle w:val="Body"/>
              <w:spacing w:after="0"/>
              <w:ind w:left="113" w:right="57"/>
              <w:rPr>
                <w:rFonts w:asciiTheme="minorHAnsi" w:hAnsiTheme="minorHAnsi"/>
                <w:sz w:val="16"/>
                <w:szCs w:val="18"/>
              </w:rPr>
            </w:pPr>
            <w:r w:rsidRPr="00BA6A34">
              <w:rPr>
                <w:rFonts w:asciiTheme="minorHAnsi" w:hAnsiTheme="minorHAnsi"/>
                <w:sz w:val="16"/>
                <w:szCs w:val="18"/>
              </w:rPr>
              <w:t>Managing fuel to improve ecosystem resilience, reduce residual risk, and for other purposes (such as to regenerate forests and protect water catchments)</w:t>
            </w:r>
          </w:p>
        </w:tc>
        <w:tc>
          <w:tcPr>
            <w:tcW w:w="2028" w:type="dxa"/>
          </w:tcPr>
          <w:p w:rsidR="00973C50" w:rsidRPr="00BA6A34" w:rsidRDefault="00973C50" w:rsidP="00973C50">
            <w:pPr>
              <w:pStyle w:val="Body"/>
              <w:spacing w:after="0"/>
              <w:ind w:left="113" w:right="57"/>
              <w:rPr>
                <w:rFonts w:asciiTheme="minorHAnsi" w:hAnsiTheme="minorHAnsi"/>
                <w:sz w:val="16"/>
                <w:szCs w:val="18"/>
              </w:rPr>
            </w:pPr>
            <w:r w:rsidRPr="00BA6A34">
              <w:rPr>
                <w:rFonts w:asciiTheme="minorHAnsi" w:hAnsiTheme="minorHAnsi"/>
                <w:sz w:val="16"/>
                <w:szCs w:val="18"/>
              </w:rPr>
              <w:t>Varies depending on objectives</w:t>
            </w:r>
          </w:p>
        </w:tc>
        <w:tc>
          <w:tcPr>
            <w:tcW w:w="2082" w:type="dxa"/>
          </w:tcPr>
          <w:p w:rsidR="00973C50" w:rsidRPr="00BA6A34" w:rsidRDefault="00973C50" w:rsidP="00BA6A34">
            <w:pPr>
              <w:pStyle w:val="Body"/>
              <w:spacing w:after="0"/>
              <w:ind w:left="113" w:right="57"/>
              <w:jc w:val="center"/>
              <w:rPr>
                <w:rFonts w:asciiTheme="minorHAnsi" w:hAnsiTheme="minorHAnsi"/>
                <w:sz w:val="16"/>
                <w:szCs w:val="18"/>
              </w:rPr>
            </w:pPr>
            <w:r w:rsidRPr="00BA6A34">
              <w:rPr>
                <w:rFonts w:asciiTheme="minorHAnsi" w:hAnsiTheme="minorHAnsi"/>
                <w:sz w:val="16"/>
                <w:szCs w:val="18"/>
              </w:rPr>
              <w:t>Total 1,679,700 ha</w:t>
            </w:r>
          </w:p>
        </w:tc>
      </w:tr>
      <w:tr w:rsidR="00973C50" w:rsidRPr="00BA6A34" w:rsidTr="00BA6A34">
        <w:tc>
          <w:tcPr>
            <w:tcW w:w="1985" w:type="dxa"/>
            <w:tcBorders>
              <w:bottom w:val="single" w:sz="6" w:space="0" w:color="31849B" w:themeColor="accent5" w:themeShade="BF"/>
            </w:tcBorders>
          </w:tcPr>
          <w:p w:rsidR="00973C50" w:rsidRPr="00BA6A34" w:rsidRDefault="00973C50" w:rsidP="00973C50">
            <w:pPr>
              <w:pStyle w:val="Body"/>
              <w:spacing w:after="0"/>
              <w:ind w:left="113" w:right="57"/>
              <w:rPr>
                <w:rFonts w:asciiTheme="minorHAnsi" w:hAnsiTheme="minorHAnsi"/>
                <w:b/>
                <w:color w:val="0D0D0D" w:themeColor="text1" w:themeTint="F2"/>
                <w:sz w:val="16"/>
                <w:szCs w:val="18"/>
              </w:rPr>
            </w:pPr>
            <w:r w:rsidRPr="00BA6A34">
              <w:rPr>
                <w:rFonts w:asciiTheme="minorHAnsi" w:hAnsiTheme="minorHAnsi"/>
                <w:b/>
                <w:color w:val="0D0D0D" w:themeColor="text1" w:themeTint="F2"/>
                <w:sz w:val="16"/>
                <w:szCs w:val="18"/>
              </w:rPr>
              <w:t>Planned Burning Exclusion Zone</w:t>
            </w:r>
          </w:p>
        </w:tc>
        <w:tc>
          <w:tcPr>
            <w:tcW w:w="4111" w:type="dxa"/>
            <w:tcBorders>
              <w:bottom w:val="single" w:sz="6" w:space="0" w:color="31849B" w:themeColor="accent5" w:themeShade="BF"/>
            </w:tcBorders>
          </w:tcPr>
          <w:p w:rsidR="00973C50" w:rsidRPr="00BA6A34" w:rsidRDefault="00973C50" w:rsidP="00973C50">
            <w:pPr>
              <w:pStyle w:val="Body"/>
              <w:spacing w:after="0"/>
              <w:ind w:left="113" w:right="57"/>
              <w:rPr>
                <w:rFonts w:asciiTheme="minorHAnsi" w:hAnsiTheme="minorHAnsi"/>
                <w:sz w:val="16"/>
                <w:szCs w:val="18"/>
              </w:rPr>
            </w:pPr>
            <w:r w:rsidRPr="00BA6A34">
              <w:rPr>
                <w:rFonts w:asciiTheme="minorHAnsi" w:hAnsiTheme="minorHAnsi"/>
                <w:sz w:val="16"/>
                <w:szCs w:val="18"/>
              </w:rPr>
              <w:t xml:space="preserve">An area where we try to avoid planned burning, mainly because the vegetation cannot tolerate fire. </w:t>
            </w:r>
          </w:p>
        </w:tc>
        <w:tc>
          <w:tcPr>
            <w:tcW w:w="2028" w:type="dxa"/>
            <w:tcBorders>
              <w:bottom w:val="single" w:sz="6" w:space="0" w:color="31849B" w:themeColor="accent5" w:themeShade="BF"/>
            </w:tcBorders>
          </w:tcPr>
          <w:p w:rsidR="00973C50" w:rsidRPr="00BA6A34" w:rsidRDefault="00973C50" w:rsidP="00973C50">
            <w:pPr>
              <w:pStyle w:val="Body"/>
              <w:spacing w:after="0"/>
              <w:ind w:left="113" w:right="57"/>
              <w:rPr>
                <w:rFonts w:asciiTheme="minorHAnsi" w:hAnsiTheme="minorHAnsi"/>
                <w:sz w:val="16"/>
                <w:szCs w:val="18"/>
              </w:rPr>
            </w:pPr>
            <w:r w:rsidRPr="00BA6A34">
              <w:rPr>
                <w:rFonts w:asciiTheme="minorHAnsi" w:hAnsiTheme="minorHAnsi"/>
                <w:sz w:val="16"/>
                <w:szCs w:val="18"/>
              </w:rPr>
              <w:t>N/A</w:t>
            </w:r>
          </w:p>
        </w:tc>
        <w:tc>
          <w:tcPr>
            <w:tcW w:w="2082" w:type="dxa"/>
            <w:tcBorders>
              <w:bottom w:val="single" w:sz="6" w:space="0" w:color="31849B" w:themeColor="accent5" w:themeShade="BF"/>
            </w:tcBorders>
          </w:tcPr>
          <w:p w:rsidR="00973C50" w:rsidRPr="00BA6A34" w:rsidRDefault="00973C50" w:rsidP="00BA6A34">
            <w:pPr>
              <w:pStyle w:val="Body"/>
              <w:spacing w:after="0"/>
              <w:ind w:left="113" w:right="57"/>
              <w:jc w:val="center"/>
              <w:rPr>
                <w:rFonts w:asciiTheme="minorHAnsi" w:hAnsiTheme="minorHAnsi"/>
                <w:sz w:val="16"/>
                <w:szCs w:val="18"/>
              </w:rPr>
            </w:pPr>
            <w:r w:rsidRPr="00BA6A34">
              <w:rPr>
                <w:rFonts w:asciiTheme="minorHAnsi" w:hAnsiTheme="minorHAnsi"/>
                <w:sz w:val="16"/>
                <w:szCs w:val="18"/>
              </w:rPr>
              <w:t>Total 93,100 ha</w:t>
            </w:r>
          </w:p>
        </w:tc>
      </w:tr>
    </w:tbl>
    <w:p w:rsidR="00BA6A34" w:rsidRPr="00BA6A34" w:rsidRDefault="00BA6A34" w:rsidP="00BA6A34">
      <w:pPr>
        <w:spacing w:after="0"/>
        <w:rPr>
          <w:rFonts w:cs="Arial"/>
          <w:sz w:val="20"/>
        </w:rPr>
      </w:pPr>
    </w:p>
    <w:p w:rsidR="00BA6A34" w:rsidRPr="00BA6A34" w:rsidRDefault="00BA6A34">
      <w:pPr>
        <w:rPr>
          <w:rFonts w:cs="Arial"/>
          <w:sz w:val="20"/>
        </w:rPr>
      </w:pPr>
      <w:r w:rsidRPr="00BA6A34">
        <w:rPr>
          <w:rFonts w:cs="Arial"/>
          <w:sz w:val="20"/>
        </w:rPr>
        <w:br w:type="page"/>
      </w:r>
    </w:p>
    <w:p w:rsidR="00BA6A34" w:rsidRPr="00BA6A34" w:rsidRDefault="00BA6A34" w:rsidP="00BA6A34">
      <w:pPr>
        <w:pStyle w:val="A3HE"/>
        <w:spacing w:after="0"/>
      </w:pPr>
      <w:r w:rsidRPr="00BA6A34">
        <w:lastRenderedPageBreak/>
        <w:t>What happens next?</w:t>
      </w:r>
    </w:p>
    <w:p w:rsidR="00BA6A34" w:rsidRPr="00BA6A34" w:rsidRDefault="00BA6A34" w:rsidP="00BA6A34">
      <w:pPr>
        <w:pStyle w:val="Body"/>
        <w:spacing w:after="0"/>
        <w:rPr>
          <w:rFonts w:asciiTheme="minorHAnsi" w:hAnsiTheme="minorHAnsi"/>
        </w:rPr>
      </w:pPr>
      <w:r w:rsidRPr="00BA6A34">
        <w:rPr>
          <w:rFonts w:asciiTheme="minorHAnsi" w:hAnsiTheme="minorHAnsi"/>
          <w:noProof/>
        </w:rPr>
        <w:drawing>
          <wp:anchor distT="0" distB="0" distL="114300" distR="114300" simplePos="0" relativeHeight="251673600" behindDoc="1" locked="0" layoutInCell="1" allowOverlap="1">
            <wp:simplePos x="0" y="0"/>
            <wp:positionH relativeFrom="column">
              <wp:posOffset>2993390</wp:posOffset>
            </wp:positionH>
            <wp:positionV relativeFrom="paragraph">
              <wp:posOffset>18415</wp:posOffset>
            </wp:positionV>
            <wp:extent cx="3314700" cy="2438400"/>
            <wp:effectExtent l="0" t="0" r="0" b="0"/>
            <wp:wrapSquare wrapText="bothSides"/>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eld trip plan2.jpg"/>
                    <pic:cNvPicPr/>
                  </pic:nvPicPr>
                  <pic:blipFill>
                    <a:blip r:embed="rId18" cstate="print">
                      <a:extLst>
                        <a:ext uri="{28A0092B-C50C-407E-A947-70E740481C1C}">
                          <a14:useLocalDpi xmlns:a14="http://schemas.microsoft.com/office/drawing/2010/main" val="0"/>
                        </a:ext>
                      </a:extLst>
                    </a:blip>
                    <a:srcRect l="-10828" b="-8936"/>
                    <a:stretch>
                      <a:fillRect/>
                    </a:stretch>
                  </pic:blipFill>
                  <pic:spPr>
                    <a:xfrm>
                      <a:off x="0" y="0"/>
                      <a:ext cx="3314700" cy="2438400"/>
                    </a:xfrm>
                    <a:prstGeom prst="rect">
                      <a:avLst/>
                    </a:prstGeom>
                  </pic:spPr>
                </pic:pic>
              </a:graphicData>
            </a:graphic>
          </wp:anchor>
        </w:drawing>
      </w:r>
      <w:r w:rsidRPr="00BA6A34">
        <w:rPr>
          <w:rFonts w:asciiTheme="minorHAnsi" w:hAnsiTheme="minorHAnsi"/>
        </w:rPr>
        <w:t>DELWP and PV are widening participation and consultation on the initial plan. There will be a series of community meetings and information sessions.  The plan has been  used to help inform the Fire Operations Plan for the next planned burning cycle.</w:t>
      </w:r>
      <w:r w:rsidRPr="00BA6A34">
        <w:rPr>
          <w:rFonts w:asciiTheme="minorHAnsi" w:hAnsiTheme="minorHAnsi"/>
          <w:noProof/>
        </w:rPr>
        <w:t xml:space="preserve"> </w:t>
      </w:r>
    </w:p>
    <w:p w:rsidR="00BA6A34" w:rsidRPr="00BA6A34" w:rsidRDefault="00BA6A34" w:rsidP="00BA6A34">
      <w:pPr>
        <w:pStyle w:val="Body"/>
        <w:spacing w:after="0"/>
        <w:rPr>
          <w:rFonts w:asciiTheme="minorHAnsi" w:hAnsiTheme="minorHAnsi"/>
        </w:rPr>
      </w:pPr>
    </w:p>
    <w:p w:rsidR="00BA6A34" w:rsidRPr="00BA6A34" w:rsidRDefault="00BA6A34" w:rsidP="00BA6A34">
      <w:pPr>
        <w:pStyle w:val="Body"/>
        <w:spacing w:after="0"/>
        <w:rPr>
          <w:rFonts w:asciiTheme="minorHAnsi" w:hAnsiTheme="minorHAnsi"/>
        </w:rPr>
      </w:pPr>
      <w:r w:rsidRPr="00BA6A34">
        <w:rPr>
          <w:rFonts w:asciiTheme="minorHAnsi" w:hAnsiTheme="minorHAnsi"/>
        </w:rPr>
        <w:t xml:space="preserve">The strategic bushfire management planning process is an adaptive cycle. As new information is developed and changes to risk factors arise, they will be incorporated into the plan. </w:t>
      </w:r>
    </w:p>
    <w:p w:rsidR="00BA6A34" w:rsidRPr="00BA6A34" w:rsidRDefault="00BA6A34" w:rsidP="00BA6A34">
      <w:pPr>
        <w:pStyle w:val="Body"/>
        <w:spacing w:after="0"/>
        <w:rPr>
          <w:rFonts w:asciiTheme="minorHAnsi" w:hAnsiTheme="minorHAnsi"/>
        </w:rPr>
      </w:pPr>
    </w:p>
    <w:p w:rsidR="00BA6A34" w:rsidRPr="00BA6A34" w:rsidRDefault="00BA6A34" w:rsidP="00BA6A34">
      <w:pPr>
        <w:pStyle w:val="Body"/>
        <w:spacing w:after="0"/>
        <w:rPr>
          <w:rFonts w:asciiTheme="minorHAnsi" w:hAnsiTheme="minorHAnsi"/>
        </w:rPr>
      </w:pPr>
      <w:r w:rsidRPr="00BA6A34">
        <w:rPr>
          <w:rFonts w:asciiTheme="minorHAnsi" w:hAnsiTheme="minorHAnsi"/>
          <w:noProof/>
        </w:rPr>
        <w:drawing>
          <wp:anchor distT="0" distB="0" distL="114300" distR="114300" simplePos="0" relativeHeight="251674624" behindDoc="0" locked="0" layoutInCell="1" allowOverlap="1">
            <wp:simplePos x="0" y="0"/>
            <wp:positionH relativeFrom="column">
              <wp:posOffset>3288665</wp:posOffset>
            </wp:positionH>
            <wp:positionV relativeFrom="paragraph">
              <wp:posOffset>875665</wp:posOffset>
            </wp:positionV>
            <wp:extent cx="3019425" cy="2266950"/>
            <wp:effectExtent l="19050" t="0" r="9525" b="0"/>
            <wp:wrapSquare wrapText="bothSides"/>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F00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9425" cy="2266950"/>
                    </a:xfrm>
                    <a:prstGeom prst="rect">
                      <a:avLst/>
                    </a:prstGeom>
                  </pic:spPr>
                </pic:pic>
              </a:graphicData>
            </a:graphic>
          </wp:anchor>
        </w:drawing>
      </w:r>
      <w:r w:rsidRPr="00BA6A34">
        <w:rPr>
          <w:rFonts w:asciiTheme="minorHAnsi" w:hAnsiTheme="minorHAnsi"/>
        </w:rPr>
        <w:t>Members of the community and stakeholders are invited to contribute to the planning, or request a demonstration of the way bushfire modelling works for their area. These opportunities will be ongoing, as each input or new information is reviewed to help adapt the future strategy.</w:t>
      </w:r>
    </w:p>
    <w:p w:rsidR="00BA6A34" w:rsidRPr="00BA6A34" w:rsidRDefault="00BA6A34" w:rsidP="00BA6A34">
      <w:pPr>
        <w:pStyle w:val="Body"/>
        <w:rPr>
          <w:rFonts w:asciiTheme="minorHAnsi" w:hAnsiTheme="minorHAnsi"/>
        </w:rPr>
      </w:pPr>
    </w:p>
    <w:p w:rsidR="00BA6A34" w:rsidRDefault="00BA6A34" w:rsidP="00BA6A34">
      <w:pPr>
        <w:pStyle w:val="Body"/>
        <w:rPr>
          <w:rFonts w:asciiTheme="minorHAnsi" w:hAnsiTheme="minorHAnsi"/>
        </w:rPr>
      </w:pPr>
    </w:p>
    <w:p w:rsidR="00973C50" w:rsidRPr="00BA6A34" w:rsidRDefault="002F35C1" w:rsidP="00BA6A34">
      <w:pPr>
        <w:pStyle w:val="Body"/>
        <w:rPr>
          <w:rFonts w:asciiTheme="minorHAnsi" w:hAnsiTheme="minorHAnsi"/>
        </w:rPr>
      </w:pPr>
      <w:r>
        <w:rPr>
          <w:rFonts w:asciiTheme="minorHAnsi" w:hAnsiTheme="minorHAnsi"/>
          <w:noProof/>
          <w:sz w:val="18"/>
        </w:rPr>
        <mc:AlternateContent>
          <mc:Choice Requires="wps">
            <w:drawing>
              <wp:anchor distT="0" distB="0" distL="114300" distR="114300" simplePos="0" relativeHeight="251667456" behindDoc="0" locked="0" layoutInCell="1" allowOverlap="1">
                <wp:simplePos x="0" y="0"/>
                <wp:positionH relativeFrom="column">
                  <wp:posOffset>-64135</wp:posOffset>
                </wp:positionH>
                <wp:positionV relativeFrom="paragraph">
                  <wp:posOffset>3927475</wp:posOffset>
                </wp:positionV>
                <wp:extent cx="6657975" cy="158432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58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456" w:type="dxa"/>
                              <w:tblLook w:val="01E0" w:firstRow="1" w:lastRow="1" w:firstColumn="1" w:lastColumn="1" w:noHBand="0" w:noVBand="0"/>
                            </w:tblPr>
                            <w:tblGrid>
                              <w:gridCol w:w="5228"/>
                              <w:gridCol w:w="5228"/>
                            </w:tblGrid>
                            <w:tr w:rsidR="00BA6A34" w:rsidRPr="00973C50" w:rsidTr="00BA6A34">
                              <w:trPr>
                                <w:trHeight w:val="2230"/>
                              </w:trPr>
                              <w:tc>
                                <w:tcPr>
                                  <w:tcW w:w="5228" w:type="dxa"/>
                                  <w:shd w:val="clear" w:color="auto" w:fill="auto"/>
                                </w:tcPr>
                                <w:p w:rsidR="00BA6A34" w:rsidRPr="00973C50" w:rsidRDefault="00BA6A34" w:rsidP="00973C50">
                                  <w:pPr>
                                    <w:pStyle w:val="ImprintText"/>
                                    <w:spacing w:after="0"/>
                                    <w:rPr>
                                      <w:sz w:val="14"/>
                                    </w:rPr>
                                  </w:pPr>
                                  <w:r w:rsidRPr="00973C50">
                                    <w:rPr>
                                      <w:sz w:val="14"/>
                                    </w:rPr>
                                    <w:t xml:space="preserve">© The State of Victoria Department of Environment, Land, Water and </w:t>
                                  </w:r>
                                  <w:r w:rsidRPr="00973C50">
                                    <w:rPr>
                                      <w:sz w:val="14"/>
                                    </w:rPr>
                                    <w:br/>
                                    <w:t>Planning 2015</w:t>
                                  </w:r>
                                </w:p>
                                <w:p w:rsidR="00BA6A34" w:rsidRPr="00973C50" w:rsidRDefault="00BA6A34" w:rsidP="00973C50">
                                  <w:pPr>
                                    <w:pStyle w:val="ImprintText"/>
                                    <w:spacing w:after="0"/>
                                    <w:rPr>
                                      <w:sz w:val="14"/>
                                    </w:rPr>
                                  </w:pPr>
                                  <w:r w:rsidRPr="00973C50">
                                    <w:rPr>
                                      <w:noProof/>
                                      <w:sz w:val="14"/>
                                    </w:rPr>
                                    <w:drawing>
                                      <wp:inline distT="0" distB="0" distL="0" distR="0">
                                        <wp:extent cx="762000" cy="266700"/>
                                        <wp:effectExtent l="0" t="0" r="0" b="0"/>
                                        <wp:docPr id="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973C50">
                                    <w:rPr>
                                      <w:sz w:val="14"/>
                                    </w:rPr>
                                    <w:t xml:space="preserve">This work is licensed under a </w:t>
                                  </w:r>
                                  <w:hyperlink r:id="rId21" w:history="1">
                                    <w:r w:rsidRPr="00973C50">
                                      <w:rPr>
                                        <w:rStyle w:val="Hyperlink"/>
                                        <w:sz w:val="14"/>
                                      </w:rPr>
                                      <w:t>Creative Commons Attribution 4.0 International licence</w:t>
                                    </w:r>
                                  </w:hyperlink>
                                  <w:r w:rsidRPr="00973C50">
                                    <w:rPr>
                                      <w:sz w:val="14"/>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2" w:history="1">
                                    <w:r w:rsidRPr="00973C50">
                                      <w:rPr>
                                        <w:rStyle w:val="Hyperlink"/>
                                        <w:sz w:val="14"/>
                                      </w:rPr>
                                      <w:t>http://creativecommons.org/licenses/by/4.0/</w:t>
                                    </w:r>
                                  </w:hyperlink>
                                </w:p>
                                <w:p w:rsidR="00BA6A34" w:rsidRPr="00973C50" w:rsidRDefault="00BA6A34" w:rsidP="00973C50">
                                  <w:pPr>
                                    <w:pStyle w:val="ImprintText"/>
                                    <w:spacing w:after="0"/>
                                    <w:rPr>
                                      <w:sz w:val="14"/>
                                    </w:rPr>
                                  </w:pPr>
                                  <w:r w:rsidRPr="00973C50">
                                    <w:rPr>
                                      <w:sz w:val="14"/>
                                    </w:rPr>
                                    <w:t>ISBN 978-1-74146-915-8 (print)</w:t>
                                  </w:r>
                                </w:p>
                                <w:p w:rsidR="00BA6A34" w:rsidRPr="00973C50" w:rsidRDefault="00F5642C" w:rsidP="00973C50">
                                  <w:pPr>
                                    <w:pStyle w:val="ImprintText"/>
                                    <w:rPr>
                                      <w:sz w:val="14"/>
                                    </w:rPr>
                                  </w:pPr>
                                  <w:bookmarkStart w:id="0" w:name="_GoBack"/>
                                  <w:r>
                                    <w:rPr>
                                      <w:sz w:val="14"/>
                                    </w:rPr>
                                    <w:t>ISBN 978-1-</w:t>
                                  </w:r>
                                  <w:r w:rsidR="00BA6A34" w:rsidRPr="00973C50">
                                    <w:rPr>
                                      <w:sz w:val="14"/>
                                    </w:rPr>
                                    <w:t xml:space="preserve">74146-916-5 </w:t>
                                  </w:r>
                                  <w:bookmarkEnd w:id="0"/>
                                  <w:r w:rsidR="00BA6A34" w:rsidRPr="00973C50">
                                    <w:rPr>
                                      <w:sz w:val="14"/>
                                    </w:rPr>
                                    <w:t>(pdf)</w:t>
                                  </w:r>
                                </w:p>
                              </w:tc>
                              <w:tc>
                                <w:tcPr>
                                  <w:tcW w:w="5228" w:type="dxa"/>
                                  <w:shd w:val="clear" w:color="auto" w:fill="auto"/>
                                </w:tcPr>
                                <w:p w:rsidR="00BA6A34" w:rsidRPr="00973C50" w:rsidRDefault="00BA6A34" w:rsidP="00973C50">
                                  <w:pPr>
                                    <w:pStyle w:val="ImprintText"/>
                                    <w:rPr>
                                      <w:sz w:val="14"/>
                                    </w:rPr>
                                  </w:pPr>
                                  <w:r w:rsidRPr="00973C50">
                                    <w:rPr>
                                      <w:b/>
                                      <w:bCs/>
                                      <w:sz w:val="14"/>
                                    </w:rPr>
                                    <w:t>Disclaimer</w:t>
                                  </w:r>
                                  <w:r w:rsidRPr="00973C50">
                                    <w:rPr>
                                      <w:sz w:val="14"/>
                                    </w:rPr>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BA6A34" w:rsidRPr="00973C50" w:rsidRDefault="00BA6A34" w:rsidP="00973C50">
                                  <w:pPr>
                                    <w:pStyle w:val="ImprintText"/>
                                    <w:spacing w:after="0"/>
                                    <w:rPr>
                                      <w:sz w:val="14"/>
                                      <w:szCs w:val="16"/>
                                    </w:rPr>
                                  </w:pPr>
                                  <w:r w:rsidRPr="00973C50">
                                    <w:rPr>
                                      <w:b/>
                                      <w:bCs/>
                                      <w:sz w:val="14"/>
                                      <w:szCs w:val="16"/>
                                    </w:rPr>
                                    <w:t>Accessibility</w:t>
                                  </w:r>
                                </w:p>
                                <w:p w:rsidR="00BA6A34" w:rsidRPr="00973C50" w:rsidRDefault="00BA6A34" w:rsidP="00973C50">
                                  <w:pPr>
                                    <w:pStyle w:val="ImprintText"/>
                                    <w:rPr>
                                      <w:sz w:val="14"/>
                                      <w:szCs w:val="28"/>
                                    </w:rPr>
                                  </w:pPr>
                                  <w:r w:rsidRPr="00973C50">
                                    <w:rPr>
                                      <w:sz w:val="14"/>
                                      <w:szCs w:val="16"/>
                                    </w:rPr>
                                    <w:t xml:space="preserve">If you would like to receive this publication in an alternative format, please telephone DELWP Customer Service Centre 136 186, email </w:t>
                                  </w:r>
                                  <w:hyperlink r:id="rId23" w:history="1">
                                    <w:r w:rsidRPr="00973C50">
                                      <w:rPr>
                                        <w:sz w:val="14"/>
                                        <w:szCs w:val="16"/>
                                      </w:rPr>
                                      <w:t>customer.service@delwp.vic.gov.au</w:t>
                                    </w:r>
                                  </w:hyperlink>
                                  <w:r w:rsidRPr="00973C50">
                                    <w:rPr>
                                      <w:sz w:val="14"/>
                                      <w:szCs w:val="16"/>
                                    </w:rPr>
                                    <w:t xml:space="preserve">, via the National Relay Service on 133 677 </w:t>
                                  </w:r>
                                  <w:hyperlink r:id="rId24" w:history="1">
                                    <w:r w:rsidRPr="00973C50">
                                      <w:rPr>
                                        <w:sz w:val="14"/>
                                        <w:szCs w:val="16"/>
                                      </w:rPr>
                                      <w:t>www.relayservice.com.au</w:t>
                                    </w:r>
                                  </w:hyperlink>
                                  <w:r w:rsidRPr="00973C50">
                                    <w:rPr>
                                      <w:sz w:val="14"/>
                                      <w:szCs w:val="16"/>
                                    </w:rPr>
                                    <w:t xml:space="preserve">. This document is also available on the internet at </w:t>
                                  </w:r>
                                  <w:hyperlink r:id="rId25" w:history="1">
                                    <w:r w:rsidRPr="00973C50">
                                      <w:rPr>
                                        <w:sz w:val="14"/>
                                        <w:szCs w:val="16"/>
                                      </w:rPr>
                                      <w:t>www.delwp.vic.gov.au</w:t>
                                    </w:r>
                                  </w:hyperlink>
                                </w:p>
                              </w:tc>
                            </w:tr>
                          </w:tbl>
                          <w:p w:rsidR="00BA6A34" w:rsidRPr="00973C50" w:rsidRDefault="00BA6A34" w:rsidP="00973C5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2" type="#_x0000_t202" style="position:absolute;margin-left:-5.05pt;margin-top:309.25pt;width:524.25pt;height:1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OnuQ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" filled="f" stroked="f">
                <v:textbox>
                  <w:txbxContent>
                    <w:tbl>
                      <w:tblPr>
                        <w:tblW w:w="10456" w:type="dxa"/>
                        <w:tblLook w:val="01E0" w:firstRow="1" w:lastRow="1" w:firstColumn="1" w:lastColumn="1" w:noHBand="0" w:noVBand="0"/>
                      </w:tblPr>
                      <w:tblGrid>
                        <w:gridCol w:w="5228"/>
                        <w:gridCol w:w="5228"/>
                      </w:tblGrid>
                      <w:tr w:rsidR="00BA6A34" w:rsidRPr="00973C50" w:rsidTr="00BA6A34">
                        <w:trPr>
                          <w:trHeight w:val="2230"/>
                        </w:trPr>
                        <w:tc>
                          <w:tcPr>
                            <w:tcW w:w="5228" w:type="dxa"/>
                            <w:shd w:val="clear" w:color="auto" w:fill="auto"/>
                          </w:tcPr>
                          <w:p w:rsidR="00BA6A34" w:rsidRPr="00973C50" w:rsidRDefault="00BA6A34" w:rsidP="00973C50">
                            <w:pPr>
                              <w:pStyle w:val="ImprintText"/>
                              <w:spacing w:after="0"/>
                              <w:rPr>
                                <w:sz w:val="14"/>
                              </w:rPr>
                            </w:pPr>
                            <w:r w:rsidRPr="00973C50">
                              <w:rPr>
                                <w:sz w:val="14"/>
                              </w:rPr>
                              <w:t xml:space="preserve">© The State of Victoria Department of Environment, Land, Water and </w:t>
                            </w:r>
                            <w:r w:rsidRPr="00973C50">
                              <w:rPr>
                                <w:sz w:val="14"/>
                              </w:rPr>
                              <w:br/>
                              <w:t>Planning 2015</w:t>
                            </w:r>
                          </w:p>
                          <w:p w:rsidR="00BA6A34" w:rsidRPr="00973C50" w:rsidRDefault="00BA6A34" w:rsidP="00973C50">
                            <w:pPr>
                              <w:pStyle w:val="ImprintText"/>
                              <w:spacing w:after="0"/>
                              <w:rPr>
                                <w:sz w:val="14"/>
                              </w:rPr>
                            </w:pPr>
                            <w:r w:rsidRPr="00973C50">
                              <w:rPr>
                                <w:noProof/>
                                <w:sz w:val="14"/>
                              </w:rPr>
                              <w:drawing>
                                <wp:inline distT="0" distB="0" distL="0" distR="0">
                                  <wp:extent cx="762000" cy="266700"/>
                                  <wp:effectExtent l="0" t="0" r="0" b="0"/>
                                  <wp:docPr id="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973C50">
                              <w:rPr>
                                <w:sz w:val="14"/>
                              </w:rPr>
                              <w:t xml:space="preserve">This work is licensed under a </w:t>
                            </w:r>
                            <w:hyperlink r:id="rId26" w:history="1">
                              <w:r w:rsidRPr="00973C50">
                                <w:rPr>
                                  <w:rStyle w:val="Hyperlink"/>
                                  <w:sz w:val="14"/>
                                </w:rPr>
                                <w:t>Creative Commons Attribution 4.0 International licence</w:t>
                              </w:r>
                            </w:hyperlink>
                            <w:r w:rsidRPr="00973C50">
                              <w:rPr>
                                <w:sz w:val="14"/>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7" w:history="1">
                              <w:r w:rsidRPr="00973C50">
                                <w:rPr>
                                  <w:rStyle w:val="Hyperlink"/>
                                  <w:sz w:val="14"/>
                                </w:rPr>
                                <w:t>http://creativecommons.org/licenses/by/4.0/</w:t>
                              </w:r>
                            </w:hyperlink>
                          </w:p>
                          <w:p w:rsidR="00BA6A34" w:rsidRPr="00973C50" w:rsidRDefault="00BA6A34" w:rsidP="00973C50">
                            <w:pPr>
                              <w:pStyle w:val="ImprintText"/>
                              <w:spacing w:after="0"/>
                              <w:rPr>
                                <w:sz w:val="14"/>
                              </w:rPr>
                            </w:pPr>
                            <w:r w:rsidRPr="00973C50">
                              <w:rPr>
                                <w:sz w:val="14"/>
                              </w:rPr>
                              <w:t>ISBN 978-1-74146-915-8 (print)</w:t>
                            </w:r>
                          </w:p>
                          <w:p w:rsidR="00BA6A34" w:rsidRPr="00973C50" w:rsidRDefault="00F5642C" w:rsidP="00973C50">
                            <w:pPr>
                              <w:pStyle w:val="ImprintText"/>
                              <w:rPr>
                                <w:sz w:val="14"/>
                              </w:rPr>
                            </w:pPr>
                            <w:bookmarkStart w:id="1" w:name="_GoBack"/>
                            <w:r>
                              <w:rPr>
                                <w:sz w:val="14"/>
                              </w:rPr>
                              <w:t>ISBN 978-1-</w:t>
                            </w:r>
                            <w:r w:rsidR="00BA6A34" w:rsidRPr="00973C50">
                              <w:rPr>
                                <w:sz w:val="14"/>
                              </w:rPr>
                              <w:t xml:space="preserve">74146-916-5 </w:t>
                            </w:r>
                            <w:bookmarkEnd w:id="1"/>
                            <w:r w:rsidR="00BA6A34" w:rsidRPr="00973C50">
                              <w:rPr>
                                <w:sz w:val="14"/>
                              </w:rPr>
                              <w:t>(pdf)</w:t>
                            </w:r>
                          </w:p>
                        </w:tc>
                        <w:tc>
                          <w:tcPr>
                            <w:tcW w:w="5228" w:type="dxa"/>
                            <w:shd w:val="clear" w:color="auto" w:fill="auto"/>
                          </w:tcPr>
                          <w:p w:rsidR="00BA6A34" w:rsidRPr="00973C50" w:rsidRDefault="00BA6A34" w:rsidP="00973C50">
                            <w:pPr>
                              <w:pStyle w:val="ImprintText"/>
                              <w:rPr>
                                <w:sz w:val="14"/>
                              </w:rPr>
                            </w:pPr>
                            <w:r w:rsidRPr="00973C50">
                              <w:rPr>
                                <w:b/>
                                <w:bCs/>
                                <w:sz w:val="14"/>
                              </w:rPr>
                              <w:t>Disclaimer</w:t>
                            </w:r>
                            <w:r w:rsidRPr="00973C50">
                              <w:rPr>
                                <w:sz w:val="14"/>
                              </w:rPr>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BA6A34" w:rsidRPr="00973C50" w:rsidRDefault="00BA6A34" w:rsidP="00973C50">
                            <w:pPr>
                              <w:pStyle w:val="ImprintText"/>
                              <w:spacing w:after="0"/>
                              <w:rPr>
                                <w:sz w:val="14"/>
                                <w:szCs w:val="16"/>
                              </w:rPr>
                            </w:pPr>
                            <w:r w:rsidRPr="00973C50">
                              <w:rPr>
                                <w:b/>
                                <w:bCs/>
                                <w:sz w:val="14"/>
                                <w:szCs w:val="16"/>
                              </w:rPr>
                              <w:t>Accessibility</w:t>
                            </w:r>
                          </w:p>
                          <w:p w:rsidR="00BA6A34" w:rsidRPr="00973C50" w:rsidRDefault="00BA6A34" w:rsidP="00973C50">
                            <w:pPr>
                              <w:pStyle w:val="ImprintText"/>
                              <w:rPr>
                                <w:sz w:val="14"/>
                                <w:szCs w:val="28"/>
                              </w:rPr>
                            </w:pPr>
                            <w:r w:rsidRPr="00973C50">
                              <w:rPr>
                                <w:sz w:val="14"/>
                                <w:szCs w:val="16"/>
                              </w:rPr>
                              <w:t xml:space="preserve">If you would like to receive this publication in an alternative format, please telephone DELWP Customer Service Centre 136 186, email </w:t>
                            </w:r>
                            <w:hyperlink r:id="rId28" w:history="1">
                              <w:r w:rsidRPr="00973C50">
                                <w:rPr>
                                  <w:sz w:val="14"/>
                                  <w:szCs w:val="16"/>
                                </w:rPr>
                                <w:t>customer.service@delwp.vic.gov.au</w:t>
                              </w:r>
                            </w:hyperlink>
                            <w:r w:rsidRPr="00973C50">
                              <w:rPr>
                                <w:sz w:val="14"/>
                                <w:szCs w:val="16"/>
                              </w:rPr>
                              <w:t xml:space="preserve">, via the National Relay Service on 133 677 </w:t>
                            </w:r>
                            <w:hyperlink r:id="rId29" w:history="1">
                              <w:r w:rsidRPr="00973C50">
                                <w:rPr>
                                  <w:sz w:val="14"/>
                                  <w:szCs w:val="16"/>
                                </w:rPr>
                                <w:t>www.relayservice.com.au</w:t>
                              </w:r>
                            </w:hyperlink>
                            <w:r w:rsidRPr="00973C50">
                              <w:rPr>
                                <w:sz w:val="14"/>
                                <w:szCs w:val="16"/>
                              </w:rPr>
                              <w:t xml:space="preserve">. This document is also available on the internet at </w:t>
                            </w:r>
                            <w:hyperlink r:id="rId30" w:history="1">
                              <w:r w:rsidRPr="00973C50">
                                <w:rPr>
                                  <w:sz w:val="14"/>
                                  <w:szCs w:val="16"/>
                                </w:rPr>
                                <w:t>www.delwp.vic.gov.au</w:t>
                              </w:r>
                            </w:hyperlink>
                          </w:p>
                        </w:tc>
                      </w:tr>
                    </w:tbl>
                    <w:p w:rsidR="00BA6A34" w:rsidRPr="00973C50" w:rsidRDefault="00BA6A34" w:rsidP="00973C50"/>
                  </w:txbxContent>
                </v:textbox>
              </v:shape>
            </w:pict>
          </mc:Fallback>
        </mc:AlternateContent>
      </w:r>
      <w:r w:rsidR="00CE4F57" w:rsidRPr="00BA6A34">
        <w:rPr>
          <w:rFonts w:asciiTheme="minorHAnsi" w:hAnsiTheme="minorHAnsi"/>
        </w:rPr>
        <w:t>For further information about managing bushfire risk in th</w:t>
      </w:r>
      <w:r w:rsidR="00074E0E" w:rsidRPr="00BA6A34">
        <w:rPr>
          <w:rFonts w:asciiTheme="minorHAnsi" w:hAnsiTheme="minorHAnsi"/>
        </w:rPr>
        <w:t>e Alpine and Greater Gippsland b</w:t>
      </w:r>
      <w:r w:rsidR="00CE4F57" w:rsidRPr="00BA6A34">
        <w:rPr>
          <w:rFonts w:asciiTheme="minorHAnsi" w:hAnsiTheme="minorHAnsi"/>
        </w:rPr>
        <w:t xml:space="preserve">ushfire </w:t>
      </w:r>
      <w:r w:rsidR="00074E0E" w:rsidRPr="00BA6A34">
        <w:rPr>
          <w:rFonts w:asciiTheme="minorHAnsi" w:hAnsiTheme="minorHAnsi"/>
        </w:rPr>
        <w:t>r</w:t>
      </w:r>
      <w:r w:rsidR="00CE4F57" w:rsidRPr="00BA6A34">
        <w:rPr>
          <w:rFonts w:asciiTheme="minorHAnsi" w:hAnsiTheme="minorHAnsi"/>
        </w:rPr>
        <w:t xml:space="preserve">isk </w:t>
      </w:r>
      <w:r w:rsidR="00074E0E" w:rsidRPr="00BA6A34">
        <w:rPr>
          <w:rFonts w:asciiTheme="minorHAnsi" w:hAnsiTheme="minorHAnsi"/>
        </w:rPr>
        <w:t>l</w:t>
      </w:r>
      <w:r w:rsidR="00CE4F57" w:rsidRPr="00BA6A34">
        <w:rPr>
          <w:rFonts w:asciiTheme="minorHAnsi" w:hAnsiTheme="minorHAnsi"/>
        </w:rPr>
        <w:t xml:space="preserve">andscape email </w:t>
      </w:r>
      <w:hyperlink r:id="rId31" w:history="1">
        <w:r w:rsidR="00CE4F57" w:rsidRPr="00BA6A34">
          <w:rPr>
            <w:rStyle w:val="Hyperlink"/>
            <w:rFonts w:asciiTheme="minorHAnsi" w:hAnsiTheme="minorHAnsi"/>
            <w:i/>
          </w:rPr>
          <w:t>alpine.greatergippsland@delwp.vic.gov.au</w:t>
        </w:r>
      </w:hyperlink>
      <w:r w:rsidR="00CE4F57" w:rsidRPr="00BA6A34">
        <w:rPr>
          <w:rFonts w:asciiTheme="minorHAnsi" w:hAnsiTheme="minorHAnsi"/>
        </w:rPr>
        <w:t>, or contact the Strategic Bushfire Management Program Manager on (03) 51520600.</w:t>
      </w:r>
    </w:p>
    <w:sectPr w:rsidR="00973C50" w:rsidRPr="00BA6A34" w:rsidSect="00973C50">
      <w:pgSz w:w="11906" w:h="16838"/>
      <w:pgMar w:top="851" w:right="991" w:bottom="1440" w:left="851"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A34" w:rsidRPr="00FD25EC" w:rsidRDefault="00BA6A34" w:rsidP="00CE4F57">
      <w:pPr>
        <w:spacing w:after="0" w:line="240" w:lineRule="auto"/>
        <w:rPr>
          <w:rFonts w:ascii="Calibri" w:hAnsi="Calibri" w:cs="Times New Roman"/>
        </w:rPr>
      </w:pPr>
      <w:r>
        <w:separator/>
      </w:r>
    </w:p>
  </w:endnote>
  <w:endnote w:type="continuationSeparator" w:id="0">
    <w:p w:rsidR="00BA6A34" w:rsidRPr="00FD25EC" w:rsidRDefault="00BA6A34" w:rsidP="00CE4F57">
      <w:pPr>
        <w:spacing w:after="0" w:line="240" w:lineRule="auto"/>
        <w:rPr>
          <w:rFonts w:ascii="Calibri" w:hAnsi="Calibri" w:cs="Times New Roman"/>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A34" w:rsidRPr="00CE4F57" w:rsidRDefault="00BA6A34" w:rsidP="00CE4F57">
    <w:pPr>
      <w:pStyle w:val="Footer"/>
      <w:rPr>
        <w:sz w:val="20"/>
      </w:rPr>
    </w:pPr>
    <w:r w:rsidRPr="00CE4F57">
      <w:rPr>
        <w:noProof/>
        <w:sz w:val="20"/>
      </w:rPr>
      <w:drawing>
        <wp:anchor distT="0" distB="0" distL="114300" distR="114300" simplePos="0" relativeHeight="251659264" behindDoc="0" locked="0" layoutInCell="1" allowOverlap="1">
          <wp:simplePos x="0" y="0"/>
          <wp:positionH relativeFrom="margin">
            <wp:posOffset>5155565</wp:posOffset>
          </wp:positionH>
          <wp:positionV relativeFrom="paragraph">
            <wp:posOffset>-224790</wp:posOffset>
          </wp:positionV>
          <wp:extent cx="1483995" cy="428625"/>
          <wp:effectExtent l="19050" t="0" r="1905"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WP) Insignia PMS541 Right Align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83995" cy="428625"/>
                  </a:xfrm>
                  <a:prstGeom prst="rect">
                    <a:avLst/>
                  </a:prstGeom>
                  <a:noFill/>
                  <a:ln>
                    <a:noFill/>
                  </a:ln>
                </pic:spPr>
              </pic:pic>
            </a:graphicData>
          </a:graphic>
        </wp:anchor>
      </w:drawing>
    </w:r>
    <w:r>
      <w:rPr>
        <w:sz w:val="20"/>
      </w:rPr>
      <w:t>Page</w:t>
    </w:r>
    <w:r w:rsidRPr="00CE4F57">
      <w:rPr>
        <w:sz w:val="20"/>
      </w:rPr>
      <w:fldChar w:fldCharType="begin"/>
    </w:r>
    <w:r w:rsidRPr="00CE4F57">
      <w:rPr>
        <w:sz w:val="20"/>
      </w:rPr>
      <w:instrText xml:space="preserve"> PAGE   \* MERGEFORMAT </w:instrText>
    </w:r>
    <w:r w:rsidRPr="00CE4F57">
      <w:rPr>
        <w:sz w:val="20"/>
      </w:rPr>
      <w:fldChar w:fldCharType="separate"/>
    </w:r>
    <w:r w:rsidR="00F5642C">
      <w:rPr>
        <w:noProof/>
        <w:sz w:val="20"/>
      </w:rPr>
      <w:t>5</w:t>
    </w:r>
    <w:r w:rsidRPr="00CE4F57">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A34" w:rsidRPr="00FD25EC" w:rsidRDefault="00BA6A34" w:rsidP="00CE4F57">
      <w:pPr>
        <w:spacing w:after="0" w:line="240" w:lineRule="auto"/>
        <w:rPr>
          <w:rFonts w:ascii="Calibri" w:hAnsi="Calibri" w:cs="Times New Roman"/>
        </w:rPr>
      </w:pPr>
      <w:r>
        <w:separator/>
      </w:r>
    </w:p>
  </w:footnote>
  <w:footnote w:type="continuationSeparator" w:id="0">
    <w:p w:rsidR="00BA6A34" w:rsidRPr="00FD25EC" w:rsidRDefault="00BA6A34" w:rsidP="00CE4F57">
      <w:pPr>
        <w:spacing w:after="0" w:line="240" w:lineRule="auto"/>
        <w:rPr>
          <w:rFonts w:ascii="Calibri" w:hAnsi="Calibri" w:cs="Times New Roman"/>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A34" w:rsidRDefault="00BA6A34" w:rsidP="00995D6E">
    <w:pPr>
      <w:pStyle w:val="CertHBWhite"/>
      <w:spacing w:line="360" w:lineRule="atLeast"/>
    </w:pPr>
    <w:r>
      <w:rPr>
        <w:noProof/>
      </w:rPr>
      <w:drawing>
        <wp:anchor distT="0" distB="0" distL="114300" distR="114300" simplePos="0" relativeHeight="251663360" behindDoc="1" locked="0" layoutInCell="1" allowOverlap="1">
          <wp:simplePos x="0" y="0"/>
          <wp:positionH relativeFrom="page">
            <wp:posOffset>-1244485</wp:posOffset>
          </wp:positionH>
          <wp:positionV relativeFrom="paragraph">
            <wp:posOffset>-278823</wp:posOffset>
          </wp:positionV>
          <wp:extent cx="11036878" cy="1629295"/>
          <wp:effectExtent l="19050" t="0" r="0" b="0"/>
          <wp:wrapNone/>
          <wp:docPr id="34" name="Picture 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6878" cy="1629295"/>
                  </a:xfrm>
                  <a:prstGeom prst="rect">
                    <a:avLst/>
                  </a:prstGeom>
                  <a:noFill/>
                  <a:ln>
                    <a:noFill/>
                  </a:ln>
                </pic:spPr>
              </pic:pic>
            </a:graphicData>
          </a:graphic>
        </wp:anchor>
      </w:drawing>
    </w:r>
    <w:r w:rsidR="00C91294">
      <w:t>6</w:t>
    </w:r>
    <w:r>
      <w:t>. Developing the plan</w:t>
    </w:r>
  </w:p>
  <w:p w:rsidR="00BA6A34" w:rsidRDefault="00BA6A34" w:rsidP="00995D6E">
    <w:pPr>
      <w:pStyle w:val="CertHBWhite"/>
      <w:spacing w:after="120" w:line="360" w:lineRule="atLeast"/>
      <w:rPr>
        <w:sz w:val="48"/>
        <w:szCs w:val="48"/>
      </w:rPr>
    </w:pPr>
    <w:r>
      <w:rPr>
        <w:sz w:val="48"/>
        <w:szCs w:val="48"/>
      </w:rPr>
      <w:t>Alpine and Greater Gippsland</w:t>
    </w:r>
  </w:p>
  <w:p w:rsidR="00BA6A34" w:rsidRDefault="00BA6A34" w:rsidP="00995D6E">
    <w:pPr>
      <w:pStyle w:val="CertHBWhite"/>
      <w:spacing w:after="120" w:line="360" w:lineRule="atLeast"/>
      <w:rPr>
        <w:sz w:val="48"/>
        <w:szCs w:val="48"/>
      </w:rPr>
    </w:pPr>
    <w:r>
      <w:rPr>
        <w:noProof/>
        <w:sz w:val="48"/>
        <w:szCs w:val="48"/>
      </w:rPr>
      <w:drawing>
        <wp:anchor distT="0" distB="0" distL="114300" distR="114300" simplePos="0" relativeHeight="251665408" behindDoc="0" locked="0" layoutInCell="1" allowOverlap="1">
          <wp:simplePos x="0" y="0"/>
          <wp:positionH relativeFrom="margin">
            <wp:align>right</wp:align>
          </wp:positionH>
          <wp:positionV relativeFrom="paragraph">
            <wp:posOffset>342265</wp:posOffset>
          </wp:positionV>
          <wp:extent cx="6667500" cy="1943100"/>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trategic_plan_overview_BP.png"/>
                  <pic:cNvPicPr/>
                </pic:nvPicPr>
                <pic:blipFill>
                  <a:blip r:embed="rId2" cstate="print">
                    <a:extLst>
                      <a:ext uri="{28A0092B-C50C-407E-A947-70E740481C1C}">
                        <a14:useLocalDpi xmlns:a14="http://schemas.microsoft.com/office/drawing/2010/main" val="0"/>
                      </a:ext>
                    </a:extLst>
                  </a:blip>
                  <a:srcRect b="10132"/>
                  <a:stretch>
                    <a:fillRect/>
                  </a:stretch>
                </pic:blipFill>
                <pic:spPr>
                  <a:xfrm>
                    <a:off x="0" y="0"/>
                    <a:ext cx="6667500" cy="1943100"/>
                  </a:xfrm>
                  <a:prstGeom prst="rect">
                    <a:avLst/>
                  </a:prstGeom>
                </pic:spPr>
              </pic:pic>
            </a:graphicData>
          </a:graphic>
        </wp:anchor>
      </w:drawing>
    </w:r>
    <w:r>
      <w:rPr>
        <w:sz w:val="48"/>
        <w:szCs w:val="48"/>
      </w:rPr>
      <w:t>Information for Communities</w:t>
    </w:r>
  </w:p>
  <w:p w:rsidR="00BA6A34" w:rsidRPr="00A0047C" w:rsidRDefault="00BA6A34" w:rsidP="00995D6E">
    <w:pPr>
      <w:pStyle w:val="CertHBWhite"/>
      <w:spacing w:after="120" w:line="360" w:lineRule="atLeast"/>
      <w:rPr>
        <w:sz w:val="48"/>
        <w:szCs w:val="4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A34" w:rsidRPr="00A0047C" w:rsidRDefault="00BA6A34" w:rsidP="00995D6E">
    <w:pPr>
      <w:rPr>
        <w:rFonts w:cstheme="minorHAnsi"/>
        <w:color w:val="FFFFFF" w:themeColor="background1"/>
        <w:sz w:val="36"/>
        <w:szCs w:val="36"/>
      </w:rPr>
    </w:pPr>
    <w:r>
      <w:rPr>
        <w:noProof/>
        <w:color w:val="FFFFFF" w:themeColor="background1"/>
        <w:sz w:val="48"/>
        <w:szCs w:val="48"/>
      </w:rPr>
      <w:drawing>
        <wp:anchor distT="0" distB="0" distL="114300" distR="114300" simplePos="0" relativeHeight="251661312" behindDoc="1" locked="0" layoutInCell="1" allowOverlap="1">
          <wp:simplePos x="0" y="0"/>
          <wp:positionH relativeFrom="page">
            <wp:posOffset>-155517</wp:posOffset>
          </wp:positionH>
          <wp:positionV relativeFrom="paragraph">
            <wp:posOffset>-138776</wp:posOffset>
          </wp:positionV>
          <wp:extent cx="7819852" cy="972589"/>
          <wp:effectExtent l="19050" t="0" r="0" b="0"/>
          <wp:wrapNone/>
          <wp:docPr id="32" name="Picture 8"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9852" cy="972589"/>
                  </a:xfrm>
                  <a:prstGeom prst="rect">
                    <a:avLst/>
                  </a:prstGeom>
                  <a:noFill/>
                  <a:ln>
                    <a:noFill/>
                  </a:ln>
                </pic:spPr>
              </pic:pic>
            </a:graphicData>
          </a:graphic>
        </wp:anchor>
      </w:drawing>
    </w:r>
    <w:r>
      <w:rPr>
        <w:noProof/>
        <w:color w:val="FFFFFF" w:themeColor="background1"/>
        <w:sz w:val="48"/>
        <w:szCs w:val="48"/>
      </w:rPr>
      <w:t>Developing the plan</w:t>
    </w:r>
  </w:p>
  <w:p w:rsidR="00BA6A34" w:rsidRPr="00AB44D1" w:rsidRDefault="00BA6A34" w:rsidP="00995D6E">
    <w:pPr>
      <w:rPr>
        <w:rFonts w:cstheme="minorHAnsi"/>
        <w:color w:val="FFFFFF" w:themeColor="background1"/>
        <w:sz w:val="36"/>
        <w:szCs w:val="36"/>
      </w:rPr>
    </w:pPr>
    <w:r>
      <w:rPr>
        <w:rFonts w:cstheme="minorHAnsi"/>
        <w:color w:val="FFFFFF" w:themeColor="background1"/>
        <w:sz w:val="36"/>
        <w:szCs w:val="36"/>
      </w:rPr>
      <w:t>Alpine and Greater Gippsland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956F9"/>
    <w:multiLevelType w:val="hybridMultilevel"/>
    <w:tmpl w:val="E3F23E48"/>
    <w:lvl w:ilvl="0" w:tplc="BCC2E49E">
      <w:start w:val="1"/>
      <w:numFmt w:val="bullet"/>
      <w:pStyle w:val="Bullet"/>
      <w:lvlText w:val=""/>
      <w:lvlJc w:val="left"/>
      <w:pPr>
        <w:tabs>
          <w:tab w:val="num" w:pos="-351"/>
        </w:tabs>
        <w:ind w:left="-351" w:hanging="360"/>
      </w:pPr>
      <w:rPr>
        <w:rFonts w:ascii="Symbol" w:hAnsi="Symbol" w:hint="default"/>
      </w:rPr>
    </w:lvl>
    <w:lvl w:ilvl="1" w:tplc="04090003">
      <w:start w:val="1"/>
      <w:numFmt w:val="bullet"/>
      <w:lvlText w:val="o"/>
      <w:lvlJc w:val="left"/>
      <w:pPr>
        <w:tabs>
          <w:tab w:val="num" w:pos="369"/>
        </w:tabs>
        <w:ind w:left="369" w:hanging="360"/>
      </w:pPr>
      <w:rPr>
        <w:rFonts w:ascii="Courier New" w:hAnsi="Courier New" w:cs="Courier New" w:hint="default"/>
      </w:rPr>
    </w:lvl>
    <w:lvl w:ilvl="2" w:tplc="04090005" w:tentative="1">
      <w:start w:val="1"/>
      <w:numFmt w:val="bullet"/>
      <w:lvlText w:val=""/>
      <w:lvlJc w:val="left"/>
      <w:pPr>
        <w:tabs>
          <w:tab w:val="num" w:pos="1089"/>
        </w:tabs>
        <w:ind w:left="1089" w:hanging="360"/>
      </w:pPr>
      <w:rPr>
        <w:rFonts w:ascii="Wingdings" w:hAnsi="Wingdings" w:hint="default"/>
      </w:rPr>
    </w:lvl>
    <w:lvl w:ilvl="3" w:tplc="04090001" w:tentative="1">
      <w:start w:val="1"/>
      <w:numFmt w:val="bullet"/>
      <w:lvlText w:val=""/>
      <w:lvlJc w:val="left"/>
      <w:pPr>
        <w:tabs>
          <w:tab w:val="num" w:pos="1809"/>
        </w:tabs>
        <w:ind w:left="1809" w:hanging="360"/>
      </w:pPr>
      <w:rPr>
        <w:rFonts w:ascii="Symbol" w:hAnsi="Symbol" w:hint="default"/>
      </w:rPr>
    </w:lvl>
    <w:lvl w:ilvl="4" w:tplc="04090003" w:tentative="1">
      <w:start w:val="1"/>
      <w:numFmt w:val="bullet"/>
      <w:lvlText w:val="o"/>
      <w:lvlJc w:val="left"/>
      <w:pPr>
        <w:tabs>
          <w:tab w:val="num" w:pos="2529"/>
        </w:tabs>
        <w:ind w:left="2529" w:hanging="360"/>
      </w:pPr>
      <w:rPr>
        <w:rFonts w:ascii="Courier New" w:hAnsi="Courier New" w:cs="Courier New" w:hint="default"/>
      </w:rPr>
    </w:lvl>
    <w:lvl w:ilvl="5" w:tplc="04090005" w:tentative="1">
      <w:start w:val="1"/>
      <w:numFmt w:val="bullet"/>
      <w:lvlText w:val=""/>
      <w:lvlJc w:val="left"/>
      <w:pPr>
        <w:tabs>
          <w:tab w:val="num" w:pos="3249"/>
        </w:tabs>
        <w:ind w:left="3249" w:hanging="360"/>
      </w:pPr>
      <w:rPr>
        <w:rFonts w:ascii="Wingdings" w:hAnsi="Wingdings" w:hint="default"/>
      </w:rPr>
    </w:lvl>
    <w:lvl w:ilvl="6" w:tplc="04090001" w:tentative="1">
      <w:start w:val="1"/>
      <w:numFmt w:val="bullet"/>
      <w:lvlText w:val=""/>
      <w:lvlJc w:val="left"/>
      <w:pPr>
        <w:tabs>
          <w:tab w:val="num" w:pos="3969"/>
        </w:tabs>
        <w:ind w:left="3969" w:hanging="360"/>
      </w:pPr>
      <w:rPr>
        <w:rFonts w:ascii="Symbol" w:hAnsi="Symbol" w:hint="default"/>
      </w:rPr>
    </w:lvl>
    <w:lvl w:ilvl="7" w:tplc="04090003" w:tentative="1">
      <w:start w:val="1"/>
      <w:numFmt w:val="bullet"/>
      <w:lvlText w:val="o"/>
      <w:lvlJc w:val="left"/>
      <w:pPr>
        <w:tabs>
          <w:tab w:val="num" w:pos="4689"/>
        </w:tabs>
        <w:ind w:left="4689" w:hanging="360"/>
      </w:pPr>
      <w:rPr>
        <w:rFonts w:ascii="Courier New" w:hAnsi="Courier New" w:cs="Courier New" w:hint="default"/>
      </w:rPr>
    </w:lvl>
    <w:lvl w:ilvl="8" w:tplc="04090005" w:tentative="1">
      <w:start w:val="1"/>
      <w:numFmt w:val="bullet"/>
      <w:lvlText w:val=""/>
      <w:lvlJc w:val="left"/>
      <w:pPr>
        <w:tabs>
          <w:tab w:val="num" w:pos="5409"/>
        </w:tabs>
        <w:ind w:left="5409" w:hanging="360"/>
      </w:pPr>
      <w:rPr>
        <w:rFonts w:ascii="Wingdings" w:hAnsi="Wingdings" w:hint="default"/>
      </w:rPr>
    </w:lvl>
  </w:abstractNum>
  <w:abstractNum w:abstractNumId="1">
    <w:nsid w:val="11577B19"/>
    <w:multiLevelType w:val="hybridMultilevel"/>
    <w:tmpl w:val="6512DF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29469D1"/>
    <w:multiLevelType w:val="hybridMultilevel"/>
    <w:tmpl w:val="9B86F10C"/>
    <w:lvl w:ilvl="0" w:tplc="98C0AD38">
      <w:start w:val="1"/>
      <w:numFmt w:val="bullet"/>
      <w:lvlText w:val=""/>
      <w:lvlJc w:val="left"/>
      <w:pPr>
        <w:ind w:left="284" w:hanging="284"/>
      </w:pPr>
      <w:rPr>
        <w:rFonts w:ascii="Symbol" w:hAnsi="Symbol" w:hint="default"/>
      </w:rPr>
    </w:lvl>
    <w:lvl w:ilvl="1" w:tplc="0C090003" w:tentative="1">
      <w:start w:val="1"/>
      <w:numFmt w:val="bullet"/>
      <w:lvlText w:val="o"/>
      <w:lvlJc w:val="left"/>
      <w:pPr>
        <w:ind w:left="2151" w:hanging="360"/>
      </w:pPr>
      <w:rPr>
        <w:rFonts w:ascii="Courier New" w:hAnsi="Courier New" w:cs="Courier New" w:hint="default"/>
      </w:rPr>
    </w:lvl>
    <w:lvl w:ilvl="2" w:tplc="0C090005" w:tentative="1">
      <w:start w:val="1"/>
      <w:numFmt w:val="bullet"/>
      <w:lvlText w:val=""/>
      <w:lvlJc w:val="left"/>
      <w:pPr>
        <w:ind w:left="2871" w:hanging="360"/>
      </w:pPr>
      <w:rPr>
        <w:rFonts w:ascii="Wingdings" w:hAnsi="Wingdings" w:hint="default"/>
      </w:rPr>
    </w:lvl>
    <w:lvl w:ilvl="3" w:tplc="0C090001" w:tentative="1">
      <w:start w:val="1"/>
      <w:numFmt w:val="bullet"/>
      <w:lvlText w:val=""/>
      <w:lvlJc w:val="left"/>
      <w:pPr>
        <w:ind w:left="3591" w:hanging="360"/>
      </w:pPr>
      <w:rPr>
        <w:rFonts w:ascii="Symbol" w:hAnsi="Symbol" w:hint="default"/>
      </w:rPr>
    </w:lvl>
    <w:lvl w:ilvl="4" w:tplc="0C090003" w:tentative="1">
      <w:start w:val="1"/>
      <w:numFmt w:val="bullet"/>
      <w:lvlText w:val="o"/>
      <w:lvlJc w:val="left"/>
      <w:pPr>
        <w:ind w:left="4311" w:hanging="360"/>
      </w:pPr>
      <w:rPr>
        <w:rFonts w:ascii="Courier New" w:hAnsi="Courier New" w:cs="Courier New" w:hint="default"/>
      </w:rPr>
    </w:lvl>
    <w:lvl w:ilvl="5" w:tplc="0C090005" w:tentative="1">
      <w:start w:val="1"/>
      <w:numFmt w:val="bullet"/>
      <w:lvlText w:val=""/>
      <w:lvlJc w:val="left"/>
      <w:pPr>
        <w:ind w:left="5031" w:hanging="360"/>
      </w:pPr>
      <w:rPr>
        <w:rFonts w:ascii="Wingdings" w:hAnsi="Wingdings" w:hint="default"/>
      </w:rPr>
    </w:lvl>
    <w:lvl w:ilvl="6" w:tplc="0C090001" w:tentative="1">
      <w:start w:val="1"/>
      <w:numFmt w:val="bullet"/>
      <w:lvlText w:val=""/>
      <w:lvlJc w:val="left"/>
      <w:pPr>
        <w:ind w:left="5751" w:hanging="360"/>
      </w:pPr>
      <w:rPr>
        <w:rFonts w:ascii="Symbol" w:hAnsi="Symbol" w:hint="default"/>
      </w:rPr>
    </w:lvl>
    <w:lvl w:ilvl="7" w:tplc="0C090003" w:tentative="1">
      <w:start w:val="1"/>
      <w:numFmt w:val="bullet"/>
      <w:lvlText w:val="o"/>
      <w:lvlJc w:val="left"/>
      <w:pPr>
        <w:ind w:left="6471" w:hanging="360"/>
      </w:pPr>
      <w:rPr>
        <w:rFonts w:ascii="Courier New" w:hAnsi="Courier New" w:cs="Courier New" w:hint="default"/>
      </w:rPr>
    </w:lvl>
    <w:lvl w:ilvl="8" w:tplc="0C090005" w:tentative="1">
      <w:start w:val="1"/>
      <w:numFmt w:val="bullet"/>
      <w:lvlText w:val=""/>
      <w:lvlJc w:val="left"/>
      <w:pPr>
        <w:ind w:left="7191" w:hanging="360"/>
      </w:pPr>
      <w:rPr>
        <w:rFonts w:ascii="Wingdings" w:hAnsi="Wingdings" w:hint="default"/>
      </w:rPr>
    </w:lvl>
  </w:abstractNum>
  <w:abstractNum w:abstractNumId="3">
    <w:nsid w:val="1513240D"/>
    <w:multiLevelType w:val="hybridMultilevel"/>
    <w:tmpl w:val="5F269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0F047B7"/>
    <w:multiLevelType w:val="hybridMultilevel"/>
    <w:tmpl w:val="DDDE2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C0C0968"/>
    <w:multiLevelType w:val="hybridMultilevel"/>
    <w:tmpl w:val="16A03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86656B8"/>
    <w:multiLevelType w:val="hybridMultilevel"/>
    <w:tmpl w:val="393C2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C00069E"/>
    <w:multiLevelType w:val="hybridMultilevel"/>
    <w:tmpl w:val="9500C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D854864"/>
    <w:multiLevelType w:val="hybridMultilevel"/>
    <w:tmpl w:val="FDE83218"/>
    <w:lvl w:ilvl="0" w:tplc="374CD7FE">
      <w:numFmt w:val="bullet"/>
      <w:pStyle w:val="Dotpoint"/>
      <w:lvlText w:val=""/>
      <w:lvlJc w:val="left"/>
      <w:pPr>
        <w:tabs>
          <w:tab w:val="num" w:pos="357"/>
        </w:tabs>
        <w:ind w:left="357" w:hanging="357"/>
      </w:pPr>
      <w:rPr>
        <w:rFonts w:ascii="Symbol" w:eastAsia="Times New Roman" w:hAnsi="Symbol" w:cs="Times New Roman" w:hint="default"/>
      </w:rPr>
    </w:lvl>
    <w:lvl w:ilvl="1" w:tplc="35EAD286">
      <w:start w:val="1"/>
      <w:numFmt w:val="bullet"/>
      <w:lvlText w:val="-"/>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nsid w:val="6BD52492"/>
    <w:multiLevelType w:val="hybridMultilevel"/>
    <w:tmpl w:val="430483D4"/>
    <w:lvl w:ilvl="0" w:tplc="98C0AD38">
      <w:start w:val="1"/>
      <w:numFmt w:val="bullet"/>
      <w:lvlText w:val=""/>
      <w:lvlJc w:val="left"/>
      <w:pPr>
        <w:ind w:left="851" w:hanging="284"/>
      </w:pPr>
      <w:rPr>
        <w:rFonts w:ascii="Symbol" w:hAnsi="Symbol" w:hint="default"/>
      </w:rPr>
    </w:lvl>
    <w:lvl w:ilvl="1" w:tplc="0C090003" w:tentative="1">
      <w:start w:val="1"/>
      <w:numFmt w:val="bullet"/>
      <w:lvlText w:val="o"/>
      <w:lvlJc w:val="left"/>
      <w:pPr>
        <w:ind w:left="3350" w:hanging="360"/>
      </w:pPr>
      <w:rPr>
        <w:rFonts w:ascii="Courier New" w:hAnsi="Courier New" w:cs="Courier New" w:hint="default"/>
      </w:rPr>
    </w:lvl>
    <w:lvl w:ilvl="2" w:tplc="0C090005" w:tentative="1">
      <w:start w:val="1"/>
      <w:numFmt w:val="bullet"/>
      <w:lvlText w:val=""/>
      <w:lvlJc w:val="left"/>
      <w:pPr>
        <w:ind w:left="4070" w:hanging="360"/>
      </w:pPr>
      <w:rPr>
        <w:rFonts w:ascii="Wingdings" w:hAnsi="Wingdings" w:hint="default"/>
      </w:rPr>
    </w:lvl>
    <w:lvl w:ilvl="3" w:tplc="0C090001" w:tentative="1">
      <w:start w:val="1"/>
      <w:numFmt w:val="bullet"/>
      <w:lvlText w:val=""/>
      <w:lvlJc w:val="left"/>
      <w:pPr>
        <w:ind w:left="4790" w:hanging="360"/>
      </w:pPr>
      <w:rPr>
        <w:rFonts w:ascii="Symbol" w:hAnsi="Symbol" w:hint="default"/>
      </w:rPr>
    </w:lvl>
    <w:lvl w:ilvl="4" w:tplc="0C090003" w:tentative="1">
      <w:start w:val="1"/>
      <w:numFmt w:val="bullet"/>
      <w:lvlText w:val="o"/>
      <w:lvlJc w:val="left"/>
      <w:pPr>
        <w:ind w:left="5510" w:hanging="360"/>
      </w:pPr>
      <w:rPr>
        <w:rFonts w:ascii="Courier New" w:hAnsi="Courier New" w:cs="Courier New" w:hint="default"/>
      </w:rPr>
    </w:lvl>
    <w:lvl w:ilvl="5" w:tplc="0C090005" w:tentative="1">
      <w:start w:val="1"/>
      <w:numFmt w:val="bullet"/>
      <w:lvlText w:val=""/>
      <w:lvlJc w:val="left"/>
      <w:pPr>
        <w:ind w:left="6230" w:hanging="360"/>
      </w:pPr>
      <w:rPr>
        <w:rFonts w:ascii="Wingdings" w:hAnsi="Wingdings" w:hint="default"/>
      </w:rPr>
    </w:lvl>
    <w:lvl w:ilvl="6" w:tplc="0C090001" w:tentative="1">
      <w:start w:val="1"/>
      <w:numFmt w:val="bullet"/>
      <w:lvlText w:val=""/>
      <w:lvlJc w:val="left"/>
      <w:pPr>
        <w:ind w:left="6950" w:hanging="360"/>
      </w:pPr>
      <w:rPr>
        <w:rFonts w:ascii="Symbol" w:hAnsi="Symbol" w:hint="default"/>
      </w:rPr>
    </w:lvl>
    <w:lvl w:ilvl="7" w:tplc="0C090003" w:tentative="1">
      <w:start w:val="1"/>
      <w:numFmt w:val="bullet"/>
      <w:lvlText w:val="o"/>
      <w:lvlJc w:val="left"/>
      <w:pPr>
        <w:ind w:left="7670" w:hanging="360"/>
      </w:pPr>
      <w:rPr>
        <w:rFonts w:ascii="Courier New" w:hAnsi="Courier New" w:cs="Courier New" w:hint="default"/>
      </w:rPr>
    </w:lvl>
    <w:lvl w:ilvl="8" w:tplc="0C090005" w:tentative="1">
      <w:start w:val="1"/>
      <w:numFmt w:val="bullet"/>
      <w:lvlText w:val=""/>
      <w:lvlJc w:val="left"/>
      <w:pPr>
        <w:ind w:left="8390" w:hanging="360"/>
      </w:pPr>
      <w:rPr>
        <w:rFonts w:ascii="Wingdings" w:hAnsi="Wingdings" w:hint="default"/>
      </w:rPr>
    </w:lvl>
  </w:abstractNum>
  <w:abstractNum w:abstractNumId="1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75964997"/>
    <w:multiLevelType w:val="hybridMultilevel"/>
    <w:tmpl w:val="EB944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6"/>
  </w:num>
  <w:num w:numId="5">
    <w:abstractNumId w:val="4"/>
  </w:num>
  <w:num w:numId="6">
    <w:abstractNumId w:val="7"/>
  </w:num>
  <w:num w:numId="7">
    <w:abstractNumId w:val="10"/>
  </w:num>
  <w:num w:numId="8">
    <w:abstractNumId w:val="9"/>
  </w:num>
  <w:num w:numId="9">
    <w:abstractNumId w:val="2"/>
  </w:num>
  <w:num w:numId="10">
    <w:abstractNumId w:val="1"/>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F57"/>
    <w:rsid w:val="00074E0E"/>
    <w:rsid w:val="00095811"/>
    <w:rsid w:val="001A2C80"/>
    <w:rsid w:val="001F08CD"/>
    <w:rsid w:val="00256202"/>
    <w:rsid w:val="00260F56"/>
    <w:rsid w:val="002D3E46"/>
    <w:rsid w:val="002F35C1"/>
    <w:rsid w:val="0032171E"/>
    <w:rsid w:val="00381E7A"/>
    <w:rsid w:val="004653EA"/>
    <w:rsid w:val="00531A12"/>
    <w:rsid w:val="005A1B5A"/>
    <w:rsid w:val="006F6D90"/>
    <w:rsid w:val="00707A65"/>
    <w:rsid w:val="007E1B3A"/>
    <w:rsid w:val="00897A65"/>
    <w:rsid w:val="00973C50"/>
    <w:rsid w:val="00995D6E"/>
    <w:rsid w:val="00A162DA"/>
    <w:rsid w:val="00BA6A34"/>
    <w:rsid w:val="00C91294"/>
    <w:rsid w:val="00CD274F"/>
    <w:rsid w:val="00CE4F57"/>
    <w:rsid w:val="00CF5E30"/>
    <w:rsid w:val="00D921C7"/>
    <w:rsid w:val="00E10CD4"/>
    <w:rsid w:val="00E5136E"/>
    <w:rsid w:val="00E55617"/>
    <w:rsid w:val="00EC5FDD"/>
    <w:rsid w:val="00F17904"/>
    <w:rsid w:val="00F564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regrouptable v:ext="edit">
        <o:entry new="1" old="0"/>
        <o:entry new="2" old="1"/>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CE4F57"/>
    <w:pPr>
      <w:spacing w:after="113" w:line="240" w:lineRule="atLeast"/>
    </w:pPr>
    <w:rPr>
      <w:rFonts w:ascii="Arial" w:eastAsia="Times New Roman" w:hAnsi="Arial" w:cs="Arial"/>
      <w:sz w:val="20"/>
      <w:szCs w:val="24"/>
    </w:rPr>
  </w:style>
  <w:style w:type="paragraph" w:customStyle="1" w:styleId="Textboxgrey">
    <w:name w:val="Text box grey"/>
    <w:basedOn w:val="Normal"/>
    <w:link w:val="TextboxgreyChar"/>
    <w:qFormat/>
    <w:rsid w:val="00CE4F57"/>
    <w:pPr>
      <w:spacing w:before="120" w:after="0" w:line="240" w:lineRule="atLeast"/>
      <w:jc w:val="both"/>
    </w:pPr>
    <w:rPr>
      <w:rFonts w:ascii="Arial" w:eastAsia="Times New Roman" w:hAnsi="Arial" w:cs="Arial"/>
      <w:color w:val="0D0D0D" w:themeColor="text1" w:themeTint="F2"/>
      <w:szCs w:val="24"/>
    </w:rPr>
  </w:style>
  <w:style w:type="character" w:customStyle="1" w:styleId="TextboxgreyChar">
    <w:name w:val="Text box grey Char"/>
    <w:basedOn w:val="DefaultParagraphFont"/>
    <w:link w:val="Textboxgrey"/>
    <w:rsid w:val="00CE4F57"/>
    <w:rPr>
      <w:rFonts w:ascii="Arial" w:eastAsia="Times New Roman" w:hAnsi="Arial" w:cs="Arial"/>
      <w:color w:val="0D0D0D" w:themeColor="text1" w:themeTint="F2"/>
      <w:szCs w:val="24"/>
    </w:rPr>
  </w:style>
  <w:style w:type="paragraph" w:customStyle="1" w:styleId="A3HE">
    <w:name w:val="_A3HE"/>
    <w:link w:val="A3HEChar"/>
    <w:qFormat/>
    <w:rsid w:val="00CE4F57"/>
    <w:pPr>
      <w:spacing w:after="120" w:line="360" w:lineRule="atLeast"/>
    </w:pPr>
    <w:rPr>
      <w:rFonts w:eastAsia="Times New Roman" w:cstheme="minorHAnsi"/>
      <w:color w:val="31849B" w:themeColor="accent5" w:themeShade="BF"/>
      <w:sz w:val="36"/>
      <w:szCs w:val="24"/>
    </w:rPr>
  </w:style>
  <w:style w:type="character" w:customStyle="1" w:styleId="A3HEChar">
    <w:name w:val="_A3HE Char"/>
    <w:link w:val="A3HE"/>
    <w:rsid w:val="00CE4F57"/>
    <w:rPr>
      <w:rFonts w:eastAsia="Times New Roman" w:cstheme="minorHAnsi"/>
      <w:color w:val="31849B" w:themeColor="accent5" w:themeShade="BF"/>
      <w:sz w:val="36"/>
      <w:szCs w:val="24"/>
    </w:rPr>
  </w:style>
  <w:style w:type="paragraph" w:styleId="Caption">
    <w:name w:val="caption"/>
    <w:basedOn w:val="Normal"/>
    <w:next w:val="Normal"/>
    <w:unhideWhenUsed/>
    <w:qFormat/>
    <w:rsid w:val="00CE4F57"/>
    <w:pPr>
      <w:spacing w:line="240" w:lineRule="auto"/>
    </w:pPr>
    <w:rPr>
      <w:rFonts w:ascii="Calibri" w:eastAsia="Times New Roman" w:hAnsi="Calibri" w:cs="Times New Roman"/>
      <w:b/>
      <w:bCs/>
      <w:color w:val="4F81BD" w:themeColor="accent1"/>
      <w:sz w:val="18"/>
      <w:szCs w:val="18"/>
    </w:rPr>
  </w:style>
  <w:style w:type="table" w:styleId="TableGrid">
    <w:name w:val="Table Grid"/>
    <w:basedOn w:val="TableNormal"/>
    <w:uiPriority w:val="59"/>
    <w:rsid w:val="00CE4F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_Bullet"/>
    <w:basedOn w:val="Body"/>
    <w:link w:val="BulletChar"/>
    <w:qFormat/>
    <w:rsid w:val="00CE4F57"/>
    <w:pPr>
      <w:numPr>
        <w:numId w:val="3"/>
      </w:numPr>
      <w:tabs>
        <w:tab w:val="num" w:pos="0"/>
      </w:tabs>
      <w:spacing w:after="120" w:line="220" w:lineRule="atLeast"/>
      <w:ind w:left="284" w:hanging="227"/>
    </w:pPr>
  </w:style>
  <w:style w:type="character" w:customStyle="1" w:styleId="BulletChar">
    <w:name w:val="_Bullet Char"/>
    <w:link w:val="Bullet"/>
    <w:rsid w:val="00CE4F57"/>
    <w:rPr>
      <w:rFonts w:ascii="Arial" w:eastAsia="Times New Roman" w:hAnsi="Arial" w:cs="Arial"/>
      <w:sz w:val="20"/>
      <w:szCs w:val="24"/>
    </w:rPr>
  </w:style>
  <w:style w:type="paragraph" w:styleId="BalloonText">
    <w:name w:val="Balloon Text"/>
    <w:basedOn w:val="Normal"/>
    <w:link w:val="BalloonTextChar"/>
    <w:uiPriority w:val="99"/>
    <w:semiHidden/>
    <w:unhideWhenUsed/>
    <w:rsid w:val="00CE4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F57"/>
    <w:rPr>
      <w:rFonts w:ascii="Tahoma" w:hAnsi="Tahoma" w:cs="Tahoma"/>
      <w:sz w:val="16"/>
      <w:szCs w:val="16"/>
    </w:rPr>
  </w:style>
  <w:style w:type="paragraph" w:customStyle="1" w:styleId="ImprintText">
    <w:name w:val="_ImprintText"/>
    <w:uiPriority w:val="9"/>
    <w:rsid w:val="00CE4F57"/>
    <w:pPr>
      <w:spacing w:after="85" w:line="170" w:lineRule="atLeast"/>
    </w:pPr>
    <w:rPr>
      <w:rFonts w:ascii="Calibri" w:eastAsia="Times New Roman" w:hAnsi="Calibri" w:cs="Arial"/>
      <w:sz w:val="16"/>
      <w:szCs w:val="14"/>
    </w:rPr>
  </w:style>
  <w:style w:type="character" w:styleId="Hyperlink">
    <w:name w:val="Hyperlink"/>
    <w:semiHidden/>
    <w:rsid w:val="00CE4F57"/>
    <w:rPr>
      <w:color w:val="0000FF"/>
      <w:u w:val="single"/>
    </w:rPr>
  </w:style>
  <w:style w:type="paragraph" w:styleId="Header">
    <w:name w:val="header"/>
    <w:basedOn w:val="Normal"/>
    <w:link w:val="HeaderChar"/>
    <w:uiPriority w:val="99"/>
    <w:unhideWhenUsed/>
    <w:rsid w:val="00CE4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F57"/>
  </w:style>
  <w:style w:type="paragraph" w:styleId="Footer">
    <w:name w:val="footer"/>
    <w:basedOn w:val="Normal"/>
    <w:link w:val="FooterChar"/>
    <w:uiPriority w:val="99"/>
    <w:semiHidden/>
    <w:unhideWhenUsed/>
    <w:rsid w:val="00CE4F5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E4F57"/>
  </w:style>
  <w:style w:type="paragraph" w:customStyle="1" w:styleId="CertHBWhite">
    <w:name w:val="_CertHBWhite"/>
    <w:uiPriority w:val="3"/>
    <w:rsid w:val="00995D6E"/>
    <w:pPr>
      <w:spacing w:after="0" w:line="720" w:lineRule="atLeast"/>
    </w:pPr>
    <w:rPr>
      <w:rFonts w:ascii="Calibri" w:eastAsia="Times New Roman" w:hAnsi="Calibri" w:cs="Arial"/>
      <w:color w:val="FFFFFF"/>
      <w:sz w:val="72"/>
      <w:szCs w:val="24"/>
    </w:rPr>
  </w:style>
  <w:style w:type="paragraph" w:customStyle="1" w:styleId="Bullet2">
    <w:name w:val="_Bullet2"/>
    <w:basedOn w:val="Bullet"/>
    <w:qFormat/>
    <w:rsid w:val="00E10CD4"/>
    <w:pPr>
      <w:numPr>
        <w:ilvl w:val="1"/>
        <w:numId w:val="7"/>
      </w:numPr>
    </w:pPr>
  </w:style>
  <w:style w:type="paragraph" w:customStyle="1" w:styleId="CertHCWhite">
    <w:name w:val="_CertHCWhite"/>
    <w:semiHidden/>
    <w:rsid w:val="00E10CD4"/>
    <w:pPr>
      <w:spacing w:after="0" w:line="600" w:lineRule="atLeast"/>
    </w:pPr>
    <w:rPr>
      <w:rFonts w:ascii="Arial" w:eastAsia="Times New Roman" w:hAnsi="Arial" w:cs="Arial"/>
      <w:color w:val="FFFFFF"/>
      <w:sz w:val="52"/>
      <w:szCs w:val="24"/>
    </w:rPr>
  </w:style>
  <w:style w:type="paragraph" w:styleId="ListParagraph">
    <w:name w:val="List Paragraph"/>
    <w:basedOn w:val="Normal"/>
    <w:uiPriority w:val="34"/>
    <w:qFormat/>
    <w:rsid w:val="00CF5E30"/>
    <w:pPr>
      <w:ind w:left="720"/>
      <w:contextualSpacing/>
    </w:pPr>
  </w:style>
  <w:style w:type="paragraph" w:customStyle="1" w:styleId="Dotpoint">
    <w:name w:val="Dot point"/>
    <w:basedOn w:val="Normal"/>
    <w:link w:val="DotpointChar"/>
    <w:rsid w:val="00973C50"/>
    <w:pPr>
      <w:numPr>
        <w:numId w:val="12"/>
      </w:numPr>
      <w:spacing w:after="80" w:line="240" w:lineRule="auto"/>
    </w:pPr>
    <w:rPr>
      <w:rFonts w:ascii="Calibri" w:eastAsia="Times New Roman" w:hAnsi="Calibri" w:cs="Times New Roman"/>
      <w:szCs w:val="20"/>
      <w:lang w:val="en-US"/>
    </w:rPr>
  </w:style>
  <w:style w:type="character" w:customStyle="1" w:styleId="DotpointChar">
    <w:name w:val="Dot point Char"/>
    <w:link w:val="Dotpoint"/>
    <w:rsid w:val="00973C50"/>
    <w:rPr>
      <w:rFonts w:ascii="Calibri" w:eastAsia="Times New Roman" w:hAnsi="Calibri" w:cs="Times New Roman"/>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CE4F57"/>
    <w:pPr>
      <w:spacing w:after="113" w:line="240" w:lineRule="atLeast"/>
    </w:pPr>
    <w:rPr>
      <w:rFonts w:ascii="Arial" w:eastAsia="Times New Roman" w:hAnsi="Arial" w:cs="Arial"/>
      <w:sz w:val="20"/>
      <w:szCs w:val="24"/>
    </w:rPr>
  </w:style>
  <w:style w:type="paragraph" w:customStyle="1" w:styleId="Textboxgrey">
    <w:name w:val="Text box grey"/>
    <w:basedOn w:val="Normal"/>
    <w:link w:val="TextboxgreyChar"/>
    <w:qFormat/>
    <w:rsid w:val="00CE4F57"/>
    <w:pPr>
      <w:spacing w:before="120" w:after="0" w:line="240" w:lineRule="atLeast"/>
      <w:jc w:val="both"/>
    </w:pPr>
    <w:rPr>
      <w:rFonts w:ascii="Arial" w:eastAsia="Times New Roman" w:hAnsi="Arial" w:cs="Arial"/>
      <w:color w:val="0D0D0D" w:themeColor="text1" w:themeTint="F2"/>
      <w:szCs w:val="24"/>
    </w:rPr>
  </w:style>
  <w:style w:type="character" w:customStyle="1" w:styleId="TextboxgreyChar">
    <w:name w:val="Text box grey Char"/>
    <w:basedOn w:val="DefaultParagraphFont"/>
    <w:link w:val="Textboxgrey"/>
    <w:rsid w:val="00CE4F57"/>
    <w:rPr>
      <w:rFonts w:ascii="Arial" w:eastAsia="Times New Roman" w:hAnsi="Arial" w:cs="Arial"/>
      <w:color w:val="0D0D0D" w:themeColor="text1" w:themeTint="F2"/>
      <w:szCs w:val="24"/>
    </w:rPr>
  </w:style>
  <w:style w:type="paragraph" w:customStyle="1" w:styleId="A3HE">
    <w:name w:val="_A3HE"/>
    <w:link w:val="A3HEChar"/>
    <w:qFormat/>
    <w:rsid w:val="00CE4F57"/>
    <w:pPr>
      <w:spacing w:after="120" w:line="360" w:lineRule="atLeast"/>
    </w:pPr>
    <w:rPr>
      <w:rFonts w:eastAsia="Times New Roman" w:cstheme="minorHAnsi"/>
      <w:color w:val="31849B" w:themeColor="accent5" w:themeShade="BF"/>
      <w:sz w:val="36"/>
      <w:szCs w:val="24"/>
    </w:rPr>
  </w:style>
  <w:style w:type="character" w:customStyle="1" w:styleId="A3HEChar">
    <w:name w:val="_A3HE Char"/>
    <w:link w:val="A3HE"/>
    <w:rsid w:val="00CE4F57"/>
    <w:rPr>
      <w:rFonts w:eastAsia="Times New Roman" w:cstheme="minorHAnsi"/>
      <w:color w:val="31849B" w:themeColor="accent5" w:themeShade="BF"/>
      <w:sz w:val="36"/>
      <w:szCs w:val="24"/>
    </w:rPr>
  </w:style>
  <w:style w:type="paragraph" w:styleId="Caption">
    <w:name w:val="caption"/>
    <w:basedOn w:val="Normal"/>
    <w:next w:val="Normal"/>
    <w:unhideWhenUsed/>
    <w:qFormat/>
    <w:rsid w:val="00CE4F57"/>
    <w:pPr>
      <w:spacing w:line="240" w:lineRule="auto"/>
    </w:pPr>
    <w:rPr>
      <w:rFonts w:ascii="Calibri" w:eastAsia="Times New Roman" w:hAnsi="Calibri" w:cs="Times New Roman"/>
      <w:b/>
      <w:bCs/>
      <w:color w:val="4F81BD" w:themeColor="accent1"/>
      <w:sz w:val="18"/>
      <w:szCs w:val="18"/>
    </w:rPr>
  </w:style>
  <w:style w:type="table" w:styleId="TableGrid">
    <w:name w:val="Table Grid"/>
    <w:basedOn w:val="TableNormal"/>
    <w:uiPriority w:val="59"/>
    <w:rsid w:val="00CE4F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_Bullet"/>
    <w:basedOn w:val="Body"/>
    <w:link w:val="BulletChar"/>
    <w:qFormat/>
    <w:rsid w:val="00CE4F57"/>
    <w:pPr>
      <w:numPr>
        <w:numId w:val="3"/>
      </w:numPr>
      <w:tabs>
        <w:tab w:val="num" w:pos="0"/>
      </w:tabs>
      <w:spacing w:after="120" w:line="220" w:lineRule="atLeast"/>
      <w:ind w:left="284" w:hanging="227"/>
    </w:pPr>
  </w:style>
  <w:style w:type="character" w:customStyle="1" w:styleId="BulletChar">
    <w:name w:val="_Bullet Char"/>
    <w:link w:val="Bullet"/>
    <w:rsid w:val="00CE4F57"/>
    <w:rPr>
      <w:rFonts w:ascii="Arial" w:eastAsia="Times New Roman" w:hAnsi="Arial" w:cs="Arial"/>
      <w:sz w:val="20"/>
      <w:szCs w:val="24"/>
    </w:rPr>
  </w:style>
  <w:style w:type="paragraph" w:styleId="BalloonText">
    <w:name w:val="Balloon Text"/>
    <w:basedOn w:val="Normal"/>
    <w:link w:val="BalloonTextChar"/>
    <w:uiPriority w:val="99"/>
    <w:semiHidden/>
    <w:unhideWhenUsed/>
    <w:rsid w:val="00CE4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F57"/>
    <w:rPr>
      <w:rFonts w:ascii="Tahoma" w:hAnsi="Tahoma" w:cs="Tahoma"/>
      <w:sz w:val="16"/>
      <w:szCs w:val="16"/>
    </w:rPr>
  </w:style>
  <w:style w:type="paragraph" w:customStyle="1" w:styleId="ImprintText">
    <w:name w:val="_ImprintText"/>
    <w:uiPriority w:val="9"/>
    <w:rsid w:val="00CE4F57"/>
    <w:pPr>
      <w:spacing w:after="85" w:line="170" w:lineRule="atLeast"/>
    </w:pPr>
    <w:rPr>
      <w:rFonts w:ascii="Calibri" w:eastAsia="Times New Roman" w:hAnsi="Calibri" w:cs="Arial"/>
      <w:sz w:val="16"/>
      <w:szCs w:val="14"/>
    </w:rPr>
  </w:style>
  <w:style w:type="character" w:styleId="Hyperlink">
    <w:name w:val="Hyperlink"/>
    <w:semiHidden/>
    <w:rsid w:val="00CE4F57"/>
    <w:rPr>
      <w:color w:val="0000FF"/>
      <w:u w:val="single"/>
    </w:rPr>
  </w:style>
  <w:style w:type="paragraph" w:styleId="Header">
    <w:name w:val="header"/>
    <w:basedOn w:val="Normal"/>
    <w:link w:val="HeaderChar"/>
    <w:uiPriority w:val="99"/>
    <w:unhideWhenUsed/>
    <w:rsid w:val="00CE4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F57"/>
  </w:style>
  <w:style w:type="paragraph" w:styleId="Footer">
    <w:name w:val="footer"/>
    <w:basedOn w:val="Normal"/>
    <w:link w:val="FooterChar"/>
    <w:uiPriority w:val="99"/>
    <w:semiHidden/>
    <w:unhideWhenUsed/>
    <w:rsid w:val="00CE4F5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E4F57"/>
  </w:style>
  <w:style w:type="paragraph" w:customStyle="1" w:styleId="CertHBWhite">
    <w:name w:val="_CertHBWhite"/>
    <w:uiPriority w:val="3"/>
    <w:rsid w:val="00995D6E"/>
    <w:pPr>
      <w:spacing w:after="0" w:line="720" w:lineRule="atLeast"/>
    </w:pPr>
    <w:rPr>
      <w:rFonts w:ascii="Calibri" w:eastAsia="Times New Roman" w:hAnsi="Calibri" w:cs="Arial"/>
      <w:color w:val="FFFFFF"/>
      <w:sz w:val="72"/>
      <w:szCs w:val="24"/>
    </w:rPr>
  </w:style>
  <w:style w:type="paragraph" w:customStyle="1" w:styleId="Bullet2">
    <w:name w:val="_Bullet2"/>
    <w:basedOn w:val="Bullet"/>
    <w:qFormat/>
    <w:rsid w:val="00E10CD4"/>
    <w:pPr>
      <w:numPr>
        <w:ilvl w:val="1"/>
        <w:numId w:val="7"/>
      </w:numPr>
    </w:pPr>
  </w:style>
  <w:style w:type="paragraph" w:customStyle="1" w:styleId="CertHCWhite">
    <w:name w:val="_CertHCWhite"/>
    <w:semiHidden/>
    <w:rsid w:val="00E10CD4"/>
    <w:pPr>
      <w:spacing w:after="0" w:line="600" w:lineRule="atLeast"/>
    </w:pPr>
    <w:rPr>
      <w:rFonts w:ascii="Arial" w:eastAsia="Times New Roman" w:hAnsi="Arial" w:cs="Arial"/>
      <w:color w:val="FFFFFF"/>
      <w:sz w:val="52"/>
      <w:szCs w:val="24"/>
    </w:rPr>
  </w:style>
  <w:style w:type="paragraph" w:styleId="ListParagraph">
    <w:name w:val="List Paragraph"/>
    <w:basedOn w:val="Normal"/>
    <w:uiPriority w:val="34"/>
    <w:qFormat/>
    <w:rsid w:val="00CF5E30"/>
    <w:pPr>
      <w:ind w:left="720"/>
      <w:contextualSpacing/>
    </w:pPr>
  </w:style>
  <w:style w:type="paragraph" w:customStyle="1" w:styleId="Dotpoint">
    <w:name w:val="Dot point"/>
    <w:basedOn w:val="Normal"/>
    <w:link w:val="DotpointChar"/>
    <w:rsid w:val="00973C50"/>
    <w:pPr>
      <w:numPr>
        <w:numId w:val="12"/>
      </w:numPr>
      <w:spacing w:after="80" w:line="240" w:lineRule="auto"/>
    </w:pPr>
    <w:rPr>
      <w:rFonts w:ascii="Calibri" w:eastAsia="Times New Roman" w:hAnsi="Calibri" w:cs="Times New Roman"/>
      <w:szCs w:val="20"/>
      <w:lang w:val="en-US"/>
    </w:rPr>
  </w:style>
  <w:style w:type="character" w:customStyle="1" w:styleId="DotpointChar">
    <w:name w:val="Dot point Char"/>
    <w:link w:val="Dotpoint"/>
    <w:rsid w:val="00973C50"/>
    <w:rPr>
      <w:rFonts w:ascii="Calibri" w:eastAsia="Times New Roman" w:hAnsi="Calibri"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creativecommons.org/licenses/by/4.0/" TargetMode="External"/><Relationship Id="rId3" Type="http://schemas.openxmlformats.org/officeDocument/2006/relationships/styles" Target="styles.xml"/><Relationship Id="rId21" Type="http://schemas.openxmlformats.org/officeDocument/2006/relationships/hyperlink" Target="http://creativecommons.org/licenses/by/4.0/"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delwp.vic.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3.emf"/><Relationship Id="rId29"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www.relayservice.com.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mailto:customer.service@delwp.vic.gov.au" TargetMode="External"/><Relationship Id="rId28" Type="http://schemas.openxmlformats.org/officeDocument/2006/relationships/hyperlink" Target="mailto:customer.service@delwp.vic.gov.au" TargetMode="External"/><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hyperlink" Target="mailto:alpine.greatergippsland@delwp.vic.gov.a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yperlink" Target="http://creativecommons.org/licenses/by/4.0/" TargetMode="External"/><Relationship Id="rId27" Type="http://schemas.openxmlformats.org/officeDocument/2006/relationships/hyperlink" Target="http://creativecommons.org/licenses/by/4.0/" TargetMode="External"/><Relationship Id="rId30" Type="http://schemas.openxmlformats.org/officeDocument/2006/relationships/hyperlink" Target="http://www.delwp.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C25006-5CF1-42C2-AD39-4E2E07C70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1542</Words>
  <Characters>8791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mm61</dc:creator>
  <cp:lastModifiedBy>Joanne Eastman</cp:lastModifiedBy>
  <cp:revision>4</cp:revision>
  <cp:lastPrinted>2016-03-31T00:58:00Z</cp:lastPrinted>
  <dcterms:created xsi:type="dcterms:W3CDTF">2016-03-30T23:09:00Z</dcterms:created>
  <dcterms:modified xsi:type="dcterms:W3CDTF">2016-03-31T00:58:00Z</dcterms:modified>
</cp:coreProperties>
</file>